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D" w:rsidRDefault="00B8530B" w:rsidP="00004C4B">
      <w:pPr>
        <w:jc w:val="center"/>
        <w:rPr>
          <w:sz w:val="36"/>
          <w:szCs w:val="36"/>
        </w:rPr>
      </w:pPr>
      <w:r w:rsidRPr="00B8530B">
        <w:rPr>
          <w:rFonts w:hint="eastAsia"/>
          <w:sz w:val="36"/>
          <w:szCs w:val="36"/>
        </w:rPr>
        <w:t>上网行为管理</w:t>
      </w:r>
      <w:r w:rsidR="00226455">
        <w:rPr>
          <w:rFonts w:hint="eastAsia"/>
          <w:sz w:val="36"/>
          <w:szCs w:val="36"/>
        </w:rPr>
        <w:t>系统</w:t>
      </w:r>
      <w:r w:rsidR="00226455">
        <w:rPr>
          <w:sz w:val="36"/>
          <w:szCs w:val="36"/>
        </w:rPr>
        <w:t>招标</w:t>
      </w:r>
      <w:r w:rsidR="005655D7">
        <w:rPr>
          <w:sz w:val="36"/>
          <w:szCs w:val="36"/>
        </w:rPr>
        <w:t>公告</w:t>
      </w:r>
    </w:p>
    <w:p w:rsidR="00B40E00" w:rsidRDefault="00B40E00" w:rsidP="00004C4B">
      <w:pPr>
        <w:jc w:val="center"/>
        <w:rPr>
          <w:sz w:val="36"/>
          <w:szCs w:val="36"/>
        </w:rPr>
      </w:pPr>
    </w:p>
    <w:p w:rsidR="00B40E00" w:rsidRPr="00004C4B" w:rsidRDefault="00B40E00" w:rsidP="00004C4B">
      <w:pPr>
        <w:jc w:val="center"/>
        <w:rPr>
          <w:sz w:val="36"/>
          <w:szCs w:val="36"/>
        </w:rPr>
      </w:pPr>
    </w:p>
    <w:p w:rsidR="00B40E00" w:rsidRPr="00B40E00" w:rsidRDefault="00B40E00" w:rsidP="00B40E00">
      <w:pPr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安信农业保险</w:t>
      </w:r>
      <w:r w:rsidR="0011446C">
        <w:rPr>
          <w:rFonts w:asciiTheme="minorEastAsia" w:eastAsiaTheme="minorEastAsia" w:hAnsiTheme="minorEastAsia" w:hint="eastAsia"/>
          <w:sz w:val="28"/>
          <w:szCs w:val="28"/>
        </w:rPr>
        <w:t>股份有限公司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（以下简称“征集人”）现邀请合格的供应商（以下简称“应征人”）就征集人所需项目进行项目征集，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偿付能力符合监管规定,具体可上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官网查询</w:t>
      </w:r>
      <w:hyperlink r:id="rId7" w:history="1">
        <w:r w:rsidR="006D2183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www.aaic.com.cn</w:t>
        </w:r>
      </w:hyperlink>
      <w:r w:rsidR="006D218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征集人将择优选定中选人，欢迎符合条件的应征人前来参与方案比选，现将有关事项公告如下。</w:t>
      </w:r>
    </w:p>
    <w:p w:rsidR="002D6903" w:rsidRDefault="00B40E00" w:rsidP="00B40E00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征</w:t>
      </w:r>
      <w:r>
        <w:rPr>
          <w:rFonts w:asciiTheme="minorEastAsia" w:eastAsiaTheme="minorEastAsia" w:hAnsiTheme="minorEastAsia" w:hint="eastAsia"/>
          <w:sz w:val="28"/>
          <w:szCs w:val="28"/>
        </w:rPr>
        <w:t>集项目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内容</w:t>
      </w:r>
    </w:p>
    <w:p w:rsidR="008F253A" w:rsidRDefault="008F253A" w:rsidP="008F253A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设备数量</w:t>
      </w:r>
    </w:p>
    <w:p w:rsidR="00C25F6F" w:rsidRPr="00C25F6F" w:rsidRDefault="00B8530B" w:rsidP="00C25F6F">
      <w:pPr>
        <w:pStyle w:val="a5"/>
        <w:ind w:left="1140" w:firstLineChars="0" w:firstLine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8530B">
        <w:rPr>
          <w:rFonts w:ascii="仿宋_GB2312" w:eastAsia="仿宋_GB2312" w:hint="eastAsia"/>
          <w:sz w:val="28"/>
          <w:szCs w:val="28"/>
        </w:rPr>
        <w:t>上网行为管理系统</w:t>
      </w:r>
      <w:r w:rsidR="00C25F6F">
        <w:rPr>
          <w:rFonts w:ascii="仿宋_GB2312" w:eastAsia="仿宋_GB2312" w:hint="eastAsia"/>
          <w:sz w:val="28"/>
          <w:szCs w:val="28"/>
        </w:rPr>
        <w:t>1套</w:t>
      </w:r>
    </w:p>
    <w:p w:rsidR="008F253A" w:rsidRDefault="008F253A" w:rsidP="00C25F6F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设备要求</w:t>
      </w:r>
    </w:p>
    <w:p w:rsidR="008F253A" w:rsidRPr="00D3491E" w:rsidRDefault="008F253A" w:rsidP="008F253A">
      <w:pPr>
        <w:pStyle w:val="a5"/>
        <w:ind w:leftChars="200" w:left="420" w:firstLineChars="250" w:firstLine="70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设备及</w:t>
      </w:r>
      <w:r w:rsidR="005A79EF">
        <w:rPr>
          <w:rFonts w:ascii="宋体" w:hAnsi="宋体" w:cs="Arial" w:hint="eastAsia"/>
          <w:sz w:val="28"/>
          <w:szCs w:val="28"/>
        </w:rPr>
        <w:t>设备</w:t>
      </w:r>
      <w:r>
        <w:rPr>
          <w:rFonts w:ascii="宋体" w:hAnsi="宋体" w:cs="Arial" w:hint="eastAsia"/>
          <w:sz w:val="28"/>
          <w:szCs w:val="28"/>
        </w:rPr>
        <w:t>附属配件均为原厂提供。</w:t>
      </w:r>
    </w:p>
    <w:p w:rsidR="002D6903" w:rsidRPr="00D3491E" w:rsidRDefault="00B40E00" w:rsidP="00B40E0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应征人必须具备的条件：</w:t>
      </w:r>
    </w:p>
    <w:p w:rsidR="00B40E00" w:rsidRPr="00B40E00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应征人须为原厂商或授权代理商，所投</w:t>
      </w:r>
      <w:r w:rsidR="004266D3">
        <w:rPr>
          <w:rFonts w:asciiTheme="minorEastAsia" w:eastAsiaTheme="minorEastAsia" w:hAnsiTheme="minorEastAsia" w:hint="eastAsia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sz w:val="28"/>
          <w:szCs w:val="28"/>
        </w:rPr>
        <w:t>品牌为国内外知名品牌，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所投</w:t>
      </w:r>
      <w:r>
        <w:rPr>
          <w:rFonts w:asciiTheme="minorEastAsia" w:eastAsiaTheme="minorEastAsia" w:hAnsiTheme="minorEastAsia" w:hint="eastAsia"/>
          <w:sz w:val="28"/>
          <w:szCs w:val="28"/>
        </w:rPr>
        <w:t>服务器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产品性能可靠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不少于三年市场应用案例。</w:t>
      </w:r>
    </w:p>
    <w:p w:rsidR="00B40E00" w:rsidRPr="00161BBC" w:rsidRDefault="00B40E00" w:rsidP="00896B4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应征人必须具有独立法人资格，具有独立承担民事责任的能力，具备相应的经营范围且其注册资金或净资产（所有者权益）必须不小于 1000</w:t>
      </w:r>
      <w:r w:rsidR="00161BBC">
        <w:rPr>
          <w:rFonts w:asciiTheme="minorEastAsia" w:eastAsiaTheme="minorEastAsia" w:hAnsiTheme="minorEastAsia" w:hint="eastAsia"/>
          <w:sz w:val="28"/>
          <w:szCs w:val="28"/>
        </w:rPr>
        <w:t>（含）万元人民币（或等值外币）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须提供有效</w:t>
      </w:r>
      <w:r w:rsidR="00896B41"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副本复印件。</w:t>
      </w:r>
    </w:p>
    <w:p w:rsidR="00B40E00" w:rsidRPr="00161BBC" w:rsidRDefault="00B40E00" w:rsidP="004F708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应征人必须具有专业团队，具有较强的售前、售中和售后服务支持能力，提供7*24报修服务电话及固定的客户服务经理，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lastRenderedPageBreak/>
        <w:t>省会城市、一类城市、直辖市均需要有办事处及备件库。提供全国性服务网点的证明材料。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F708E"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="004F708E">
        <w:rPr>
          <w:rFonts w:asciiTheme="minorEastAsia" w:eastAsiaTheme="minorEastAsia" w:hAnsiTheme="minorEastAsia"/>
          <w:sz w:val="28"/>
          <w:szCs w:val="28"/>
        </w:rPr>
        <w:t>证明。</w:t>
      </w:r>
    </w:p>
    <w:p w:rsid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投标人未被“信用中国”网站（www.creditchina.gov.cn）、“中国政府采购网”（www.ccgp.gov.cn）列入失信被执行人、重大税收违法案件当事人名单、政府采购严重违法失信行为记录名单;并提供截图证明；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财务状况：投标人应具备良好的财务状况，具有足够的流动资金来承担招标范围各事项,提供近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的财务状况报告复印件（至少包括资产负债表和利润表）。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近六个月中任一月份的依法缴纳税收和社会保障资金的相关材料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40E00" w:rsidRPr="00161BBC" w:rsidRDefault="00B40E00" w:rsidP="00161BB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法定代表人为同一个人的两个及两个以上法人，母公司与全资子公司/由其控股的子公司，不得同时参加本项目。</w:t>
      </w:r>
    </w:p>
    <w:p w:rsidR="00D3491E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法律、行政法规规定的其他条件。</w:t>
      </w:r>
    </w:p>
    <w:p w:rsidR="00B40E4D" w:rsidRPr="00B40E4D" w:rsidRDefault="00161BBC" w:rsidP="00B40E4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DB5D8C">
        <w:rPr>
          <w:rFonts w:asciiTheme="minorEastAsia" w:eastAsiaTheme="minorEastAsia" w:hAnsiTheme="minorEastAsia" w:hint="eastAsia"/>
          <w:sz w:val="28"/>
          <w:szCs w:val="28"/>
        </w:rPr>
        <w:t>需提供厂商对本项目的授权书。</w:t>
      </w:r>
    </w:p>
    <w:p w:rsidR="005C46FD" w:rsidRDefault="005C46FD" w:rsidP="002D690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</w:t>
      </w:r>
      <w:r>
        <w:rPr>
          <w:rFonts w:asciiTheme="minorEastAsia" w:eastAsiaTheme="minorEastAsia" w:hAnsiTheme="minorEastAsia" w:hint="eastAsia"/>
          <w:sz w:val="28"/>
          <w:szCs w:val="28"/>
        </w:rPr>
        <w:t>所需</w:t>
      </w:r>
      <w:r>
        <w:rPr>
          <w:rFonts w:asciiTheme="minorEastAsia" w:eastAsiaTheme="minorEastAsia" w:hAnsiTheme="minorEastAsia"/>
          <w:sz w:val="28"/>
          <w:szCs w:val="28"/>
        </w:rPr>
        <w:t>提交材料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>
        <w:rPr>
          <w:rFonts w:asciiTheme="minorEastAsia" w:eastAsiaTheme="minorEastAsia" w:hAnsiTheme="minorEastAsia" w:hint="eastAsia"/>
          <w:sz w:val="28"/>
          <w:szCs w:val="28"/>
        </w:rPr>
        <w:t>副本复印件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全国性服务网点的证明材料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>
        <w:rPr>
          <w:rFonts w:asciiTheme="minorEastAsia" w:eastAsiaTheme="minorEastAsia" w:hAnsiTheme="minorEastAsia" w:hint="eastAsia"/>
          <w:sz w:val="28"/>
          <w:szCs w:val="28"/>
        </w:rPr>
        <w:t>资质</w:t>
      </w:r>
      <w:r>
        <w:rPr>
          <w:rFonts w:asciiTheme="minorEastAsia" w:eastAsiaTheme="minorEastAsia" w:hAnsiTheme="minorEastAsia"/>
          <w:sz w:val="28"/>
          <w:szCs w:val="28"/>
        </w:rPr>
        <w:t>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/>
          <w:sz w:val="28"/>
          <w:szCs w:val="28"/>
        </w:rPr>
        <w:t>征信证明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</w:t>
      </w:r>
      <w:r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lastRenderedPageBreak/>
        <w:t>近六个月中任一月份的依法缴纳税收和社会保障资金的相关材料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以上所有资质证明</w:t>
      </w:r>
      <w:r w:rsidRPr="00B40E4D">
        <w:rPr>
          <w:rFonts w:asciiTheme="minorEastAsia" w:eastAsiaTheme="minorEastAsia" w:hAnsiTheme="minorEastAsia"/>
          <w:sz w:val="28"/>
          <w:szCs w:val="28"/>
        </w:rPr>
        <w:t>都需加盖</w:t>
      </w: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应征人公司</w:t>
      </w:r>
      <w:r w:rsidRPr="00B40E4D">
        <w:rPr>
          <w:rFonts w:asciiTheme="minorEastAsia" w:eastAsiaTheme="minorEastAsia" w:hAnsiTheme="minorEastAsia"/>
          <w:sz w:val="28"/>
          <w:szCs w:val="28"/>
        </w:rPr>
        <w:t>公章</w:t>
      </w:r>
    </w:p>
    <w:p w:rsidR="005C46FD" w:rsidRPr="005C46FD" w:rsidRDefault="00FC5B32" w:rsidP="005C46F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售后服务要求</w:t>
      </w:r>
    </w:p>
    <w:p w:rsidR="00FC5B32" w:rsidRPr="00FC5B32" w:rsidRDefault="00161BBC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应为</w:t>
      </w:r>
      <w:r w:rsidR="002B5699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提供及时周到的系统技术支持。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应确保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提供7*24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小时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，响应时间不应该超过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小时，现场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响应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支持不应超过4小时。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所提供设备保质期</w:t>
      </w:r>
      <w:r w:rsidR="00FF156A">
        <w:rPr>
          <w:rFonts w:asciiTheme="minorEastAsia" w:eastAsiaTheme="minorEastAsia" w:hAnsiTheme="minorEastAsia" w:hint="eastAsia"/>
          <w:sz w:val="28"/>
          <w:szCs w:val="28"/>
        </w:rPr>
        <w:t>(维保)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均为三年，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集成商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所提供的设备在保质期内因硬件、软件本身质量问题所造成的损坏或无法正常运行，由此产生的维修、更换硬件和软件故障排除等所需一切费用（包括工程师差旅费用等支出）由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集成商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负责。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提供相应的备件支持，以便及时更换损坏硬件。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应在质保期后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设备生命周期内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有义务</w:t>
      </w:r>
      <w:r w:rsidR="00195A3C">
        <w:rPr>
          <w:rFonts w:asciiTheme="minorEastAsia" w:eastAsiaTheme="minorEastAsia" w:hAnsiTheme="minorEastAsia" w:hint="eastAsia"/>
          <w:sz w:val="28"/>
          <w:szCs w:val="28"/>
        </w:rPr>
        <w:t>继续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对系统设备提供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维保服务，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67651D">
        <w:rPr>
          <w:rFonts w:asciiTheme="minorEastAsia" w:eastAsiaTheme="minorEastAsia" w:hAnsiTheme="minorEastAsia" w:hint="eastAsia"/>
          <w:sz w:val="28"/>
          <w:szCs w:val="28"/>
        </w:rPr>
        <w:t>将支付相应费用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5B32" w:rsidRPr="00FC5B32" w:rsidRDefault="00FC5B32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针对以上要求，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提供具体可行的有吸引力的合作方案。</w:t>
      </w:r>
    </w:p>
    <w:bookmarkEnd w:id="0"/>
    <w:p w:rsidR="002D6903" w:rsidRDefault="00FC5B32" w:rsidP="002D6903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验收</w:t>
      </w:r>
    </w:p>
    <w:p w:rsidR="00FC5B32" w:rsidRPr="00FC5B32" w:rsidRDefault="00FC5B32" w:rsidP="00FC5B32">
      <w:pPr>
        <w:pStyle w:val="a5"/>
        <w:numPr>
          <w:ilvl w:val="0"/>
          <w:numId w:val="6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所有设备均需提供安装服务，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所采购设备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（包括软件）安装都必须由</w:t>
      </w:r>
      <w:r w:rsidR="00551F8B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551F8B" w:rsidRPr="00117817">
        <w:rPr>
          <w:rFonts w:asciiTheme="minorEastAsia" w:eastAsiaTheme="minorEastAsia" w:hAnsiTheme="minorEastAsia" w:hint="eastAsia"/>
          <w:sz w:val="28"/>
          <w:szCs w:val="28"/>
        </w:rPr>
        <w:t>厂商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授权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集成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商执行。</w:t>
      </w:r>
    </w:p>
    <w:p w:rsidR="00EB444F" w:rsidRPr="00FC5B32" w:rsidRDefault="00EB444F" w:rsidP="00EB444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安装前由</w:t>
      </w:r>
      <w:bookmarkStart w:id="1" w:name="OLE_LINK7"/>
      <w:bookmarkStart w:id="2" w:name="OLE_LINK8"/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bookmarkEnd w:id="1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协同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行政办公室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对货物的品牌、数量、包装等方面进行</w:t>
      </w:r>
      <w:r>
        <w:rPr>
          <w:rFonts w:asciiTheme="minorEastAsia" w:eastAsiaTheme="minorEastAsia" w:hAnsiTheme="minorEastAsia" w:hint="eastAsia"/>
          <w:sz w:val="28"/>
          <w:szCs w:val="28"/>
        </w:rPr>
        <w:t>实物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验收。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提供的所有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包装的货物均应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完好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无损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。如遇交付前已拆封的货物，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有权拒绝或要求更换。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交货时，必需提供所有产品原厂或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lastRenderedPageBreak/>
        <w:t>总代理出具的供货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证明。</w:t>
      </w:r>
    </w:p>
    <w:p w:rsidR="00DB5D8C" w:rsidRPr="005F12C8" w:rsidRDefault="006A5078" w:rsidP="005F12C8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信息技术部指导下进行设备安装、调试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进行使用性能方面的验收。</w:t>
      </w:r>
    </w:p>
    <w:p w:rsidR="00FC5B32" w:rsidRDefault="005F12C8" w:rsidP="005F12C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报名方式</w:t>
      </w:r>
    </w:p>
    <w:p w:rsidR="006A507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有意者请于</w:t>
      </w:r>
      <w:r>
        <w:rPr>
          <w:rFonts w:asciiTheme="minorEastAsia" w:eastAsiaTheme="minorEastAsia" w:hAnsiTheme="minorEastAsia"/>
          <w:sz w:val="28"/>
          <w:szCs w:val="28"/>
        </w:rPr>
        <w:t>2019年</w:t>
      </w:r>
      <w:r w:rsidR="008008D5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4730EC">
        <w:rPr>
          <w:rFonts w:asciiTheme="minorEastAsia" w:eastAsiaTheme="minorEastAsia" w:hAnsiTheme="minorEastAsia"/>
          <w:sz w:val="28"/>
          <w:szCs w:val="28"/>
        </w:rPr>
        <w:t>2</w:t>
      </w:r>
      <w:r w:rsidR="0054202F">
        <w:rPr>
          <w:rFonts w:asciiTheme="minorEastAsia" w:eastAsiaTheme="minorEastAsia" w:hAnsiTheme="minorEastAsia"/>
          <w:sz w:val="28"/>
          <w:szCs w:val="28"/>
        </w:rPr>
        <w:t>3</w:t>
      </w:r>
      <w:bookmarkStart w:id="3" w:name="_GoBack"/>
      <w:bookmarkEnd w:id="3"/>
      <w:r>
        <w:rPr>
          <w:rFonts w:asciiTheme="minorEastAsia" w:eastAsiaTheme="minorEastAsia" w:hAnsiTheme="minor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之前将标书及相关材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 xml:space="preserve">料送至以下地址：上海市静安区共和新路3651号 </w:t>
      </w:r>
      <w:r>
        <w:rPr>
          <w:rFonts w:asciiTheme="minorEastAsia" w:eastAsiaTheme="minorEastAsia" w:hAnsiTheme="minorEastAsia" w:hint="eastAsia"/>
          <w:sz w:val="28"/>
          <w:szCs w:val="28"/>
        </w:rPr>
        <w:t>顾晓磊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>收</w:t>
      </w:r>
    </w:p>
    <w:p w:rsidR="005F12C8" w:rsidRDefault="00C25F6F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商务</w:t>
      </w:r>
      <w:r w:rsidR="005F12C8">
        <w:rPr>
          <w:rFonts w:asciiTheme="minorEastAsia" w:eastAsiaTheme="minorEastAsia" w:hAnsiTheme="minorEastAsia" w:hint="eastAsia"/>
          <w:sz w:val="28"/>
          <w:szCs w:val="28"/>
        </w:rPr>
        <w:t>联系人：顾晓磊</w:t>
      </w:r>
    </w:p>
    <w:p w:rsidR="005F12C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联系方式：021-6698</w:t>
      </w:r>
      <w:r>
        <w:rPr>
          <w:rFonts w:asciiTheme="minorEastAsia" w:eastAsiaTheme="minorEastAsia" w:hAnsiTheme="minorEastAsia"/>
          <w:sz w:val="28"/>
          <w:szCs w:val="28"/>
        </w:rPr>
        <w:t>8356</w:t>
      </w:r>
      <w:r w:rsidR="00C25F6F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hyperlink r:id="rId8" w:history="1">
        <w:r w:rsidR="00C25F6F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guxl@aaic.com.cn</w:t>
        </w:r>
      </w:hyperlink>
    </w:p>
    <w:p w:rsidR="00C25F6F" w:rsidRDefault="00C25F6F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</w:t>
      </w:r>
      <w:r>
        <w:rPr>
          <w:rFonts w:asciiTheme="minorEastAsia" w:eastAsiaTheme="minorEastAsia" w:hAnsiTheme="minorEastAsia"/>
          <w:sz w:val="28"/>
          <w:szCs w:val="28"/>
        </w:rPr>
        <w:t>联系人：卫金凯</w:t>
      </w:r>
    </w:p>
    <w:p w:rsidR="00C25F6F" w:rsidRPr="00C25F6F" w:rsidRDefault="00C25F6F" w:rsidP="00C25F6F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联系方式：021-6698</w:t>
      </w:r>
      <w:r>
        <w:rPr>
          <w:rFonts w:asciiTheme="minorEastAsia" w:eastAsiaTheme="minorEastAsia" w:hAnsiTheme="minorEastAsia"/>
          <w:sz w:val="28"/>
          <w:szCs w:val="28"/>
        </w:rPr>
        <w:t>8391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hyperlink r:id="rId9" w:history="1">
        <w:r w:rsidRPr="00474F99">
          <w:rPr>
            <w:rStyle w:val="a7"/>
            <w:rFonts w:asciiTheme="minorEastAsia" w:eastAsiaTheme="minorEastAsia" w:hAnsiTheme="minorEastAsia"/>
            <w:sz w:val="28"/>
            <w:szCs w:val="28"/>
          </w:rPr>
          <w:t>weijk</w:t>
        </w:r>
        <w:r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@aaic.com.cn</w:t>
        </w:r>
      </w:hyperlink>
    </w:p>
    <w:p w:rsidR="006A5078" w:rsidRPr="006A5078" w:rsidRDefault="00C25F6F" w:rsidP="006A507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投诉</w:t>
      </w:r>
      <w:r w:rsidR="006A5078" w:rsidRPr="006A5078">
        <w:rPr>
          <w:rFonts w:asciiTheme="minorEastAsia" w:eastAsiaTheme="minorEastAsia" w:hAnsiTheme="minorEastAsia" w:hint="eastAsia"/>
          <w:sz w:val="28"/>
          <w:szCs w:val="28"/>
        </w:rPr>
        <w:t>邮箱：</w:t>
      </w:r>
      <w:r w:rsidR="006A5078" w:rsidRPr="006A5078">
        <w:rPr>
          <w:rFonts w:asciiTheme="minorEastAsia" w:eastAsiaTheme="minorEastAsia" w:hAnsiTheme="minorEastAsia"/>
          <w:sz w:val="28"/>
          <w:szCs w:val="28"/>
        </w:rPr>
        <w:t>kehufuwu@aaic.com.cn</w:t>
      </w:r>
    </w:p>
    <w:p w:rsidR="006A5078" w:rsidRDefault="006A5078" w:rsidP="00FC5B32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设备技术指标</w:t>
      </w:r>
    </w:p>
    <w:p w:rsidR="00B8530B" w:rsidRPr="00B8530B" w:rsidRDefault="00B8530B" w:rsidP="00B8530B">
      <w:pPr>
        <w:pStyle w:val="a5"/>
        <w:ind w:left="420" w:firstLineChars="0" w:firstLine="0"/>
        <w:rPr>
          <w:rFonts w:eastAsiaTheme="minorEastAsia"/>
          <w:b/>
          <w:szCs w:val="22"/>
        </w:rPr>
      </w:pPr>
      <w:r w:rsidRPr="00B8530B">
        <w:rPr>
          <w:rFonts w:hint="eastAsia"/>
          <w:b/>
        </w:rPr>
        <w:t>产品性能指标</w:t>
      </w:r>
    </w:p>
    <w:tbl>
      <w:tblPr>
        <w:tblStyle w:val="a6"/>
        <w:tblW w:w="8930" w:type="dxa"/>
        <w:tblInd w:w="137" w:type="dxa"/>
        <w:tblLook w:val="04A0" w:firstRow="1" w:lastRow="0" w:firstColumn="1" w:lastColumn="0" w:noHBand="0" w:noVBand="1"/>
      </w:tblPr>
      <w:tblGrid>
        <w:gridCol w:w="4014"/>
        <w:gridCol w:w="4916"/>
      </w:tblGrid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rPr>
                <w:rFonts w:ascii="宋体" w:hAnsi="宋体" w:cs="宋体" w:hint="eastAsia"/>
              </w:rPr>
              <w:t>吞吐</w:t>
            </w:r>
            <w:r>
              <w:rPr>
                <w:rFonts w:hint="eastAsia"/>
              </w:rPr>
              <w:t>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t>300Mb</w:t>
            </w:r>
          </w:p>
        </w:tc>
      </w:tr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rPr>
                <w:rFonts w:ascii="宋体" w:hAnsi="宋体" w:cs="宋体" w:hint="eastAsia"/>
              </w:rPr>
              <w:t>用户规</w:t>
            </w:r>
            <w:r>
              <w:rPr>
                <w:rFonts w:hint="eastAsia"/>
              </w:rPr>
              <w:t>模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t>1500</w:t>
            </w:r>
          </w:p>
        </w:tc>
      </w:tr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rPr>
                <w:rFonts w:ascii="宋体" w:hAnsi="宋体" w:cs="宋体" w:hint="eastAsia"/>
              </w:rPr>
              <w:t>设备接</w:t>
            </w:r>
            <w:r>
              <w:rPr>
                <w:rFonts w:hint="eastAsia"/>
              </w:rPr>
              <w:t>口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t>6</w:t>
            </w:r>
            <w:r>
              <w:rPr>
                <w:rFonts w:ascii="微软雅黑" w:eastAsia="微软雅黑" w:hAnsi="微软雅黑" w:cs="微软雅黑" w:hint="eastAsia"/>
              </w:rPr>
              <w:t>个千兆网</w:t>
            </w:r>
            <w:r>
              <w:rPr>
                <w:rFonts w:hint="eastAsia"/>
              </w:rPr>
              <w:t>口</w:t>
            </w:r>
          </w:p>
        </w:tc>
      </w:tr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rPr>
                <w:rFonts w:ascii="宋体" w:hAnsi="宋体" w:cs="宋体" w:hint="eastAsia"/>
              </w:rPr>
              <w:t>硬</w:t>
            </w:r>
            <w:r>
              <w:rPr>
                <w:rFonts w:hint="eastAsia"/>
              </w:rPr>
              <w:t>盘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t xml:space="preserve">1TB </w:t>
            </w:r>
          </w:p>
        </w:tc>
      </w:tr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rPr>
                <w:rFonts w:ascii="宋体" w:hAnsi="宋体" w:cs="宋体" w:hint="eastAsia"/>
              </w:rPr>
              <w:t>多线</w:t>
            </w:r>
            <w:r>
              <w:rPr>
                <w:rFonts w:hint="eastAsia"/>
              </w:rPr>
              <w:t>路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pPr>
              <w:rPr>
                <w:b/>
              </w:rPr>
            </w:pPr>
            <w:r>
              <w:t>2</w:t>
            </w:r>
            <w:r>
              <w:rPr>
                <w:rFonts w:ascii="微软雅黑" w:eastAsia="微软雅黑" w:hAnsi="微软雅黑" w:cs="微软雅黑" w:hint="eastAsia"/>
              </w:rPr>
              <w:t>条外网线</w:t>
            </w:r>
            <w:r>
              <w:rPr>
                <w:rFonts w:hint="eastAsia"/>
              </w:rPr>
              <w:t>路</w:t>
            </w:r>
          </w:p>
        </w:tc>
      </w:tr>
      <w:tr w:rsidR="00B8530B" w:rsidTr="00B8530B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r>
              <w:t>URL</w:t>
            </w:r>
            <w:r>
              <w:rPr>
                <w:rFonts w:hint="eastAsia"/>
              </w:rPr>
              <w:t>库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0B" w:rsidRDefault="00B8530B">
            <w:r>
              <w:rPr>
                <w:rFonts w:ascii="微软雅黑" w:eastAsia="微软雅黑" w:hAnsi="微软雅黑" w:cs="微软雅黑" w:hint="eastAsia"/>
              </w:rPr>
              <w:t>包含</w:t>
            </w:r>
            <w:r>
              <w:t>URL</w:t>
            </w:r>
            <w:r>
              <w:rPr>
                <w:rFonts w:hint="eastAsia"/>
              </w:rPr>
              <w:t>库</w:t>
            </w:r>
          </w:p>
        </w:tc>
      </w:tr>
    </w:tbl>
    <w:p w:rsidR="00B8530B" w:rsidRPr="00B8530B" w:rsidRDefault="00B8530B" w:rsidP="00B8530B">
      <w:pPr>
        <w:pStyle w:val="a5"/>
        <w:ind w:left="420" w:firstLineChars="0" w:firstLine="0"/>
        <w:rPr>
          <w:rFonts w:asciiTheme="minorHAnsi" w:eastAsiaTheme="minorEastAsia" w:hAnsiTheme="minorHAnsi" w:cstheme="minorBidi"/>
          <w:b/>
          <w:szCs w:val="22"/>
        </w:rPr>
      </w:pPr>
      <w:r w:rsidRPr="00B8530B">
        <w:rPr>
          <w:rFonts w:hint="eastAsia"/>
          <w:b/>
        </w:rPr>
        <w:t>产品技术指标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890"/>
        <w:gridCol w:w="6237"/>
      </w:tblGrid>
      <w:tr w:rsidR="00B8530B" w:rsidTr="00B8530B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项目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指标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具体功能要求</w:t>
            </w:r>
          </w:p>
        </w:tc>
      </w:tr>
      <w:tr w:rsidR="00B8530B" w:rsidTr="00B8530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部署方式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网关模式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支持网关模式，支持NAT、路由转发、DHCP、GRE、OSPF等功能；</w:t>
            </w:r>
          </w:p>
        </w:tc>
      </w:tr>
      <w:tr w:rsidR="00B8530B" w:rsidTr="00B8530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网桥模式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支持网桥模式，以透明方式串接在网络中；支持电口、光口bypass；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旁路模式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支持旁路模式，无需更改网络配置，实现上网行为审计；旁路支持主主、主备模式部署；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多路桥接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必须支持多路桥接功能，最多可支持32组网桥模式；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★多主模式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必须支持两台及两台以上设备同时做主机的部署模式；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★虚拟化模式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支持基于虚拟化平台的软件版本，支持的虚拟平台包括：VMware、深信服超融合等平台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★全面支持IPv6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支持部署在IPv6环境中，设备接口及部署模式均支持ipv6配置；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所有核心功能（上网认证、应用控制、流量控制、内容审计、日志报表等）都支持IPv6；（提供产品界面截图）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网关管理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管理界面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支持SSL加密WEB方式、SSH命令行方式管理设备；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管理员权限分配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支持细致的管理员权限划分，包括对不同用户组的管理权限、对各种主要功能界面的配置和查看权限；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管理员角色及等级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可设置四类管理员，分别为配置管理员、查看管理员、日志管理员，以及多种权限的超级管理员；管理员支持分级，高级别管理员的策略配置优先生效，并可修改低级管理员的策略；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管理员账号安全保障机制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支持管理员账号登录允许尝试次数可配，并支持管理员用户登录进行双因素认证，密码认证加邮件验证码； 管理员账号支持ACACS+/RADIUS/LDAP协议外部认证；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支持集中管理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多台设备支持通过统一平台集中管理、集中配置等；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加入集中管理时，支持身份认证，比如密码正确才能加入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解除集中管理时，要输入中心端的解控秘钥才允许解控</w:t>
            </w:r>
          </w:p>
        </w:tc>
      </w:tr>
      <w:tr w:rsidR="00B8530B" w:rsidTr="00B8530B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支持主备伴随升级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支持统一平台设备下发升级包，一次下发，2 台设备连续同时升级成功。升级过程中会进行双机切换来保证业务不中断。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智能组网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支持SDWAN 组网技术，统一平台下发策略邮件到多台设备，一键部署；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支持autoVPN，选定两端设备后智能选路，一键配置VPN；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告警管理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*支持攻击、双机切换告警、移动终端管理告警、风险终端发现告警、web关键字过滤告警、杀毒告警、设备流量超限告警、磁盘/CPU/内存异常告警等；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IPsec VPN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必须具有IPSec VPN远程加密访问和连接的模块，并能提供IPSec VPN客户端授权远程接入访问；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* IPsec VPN支持多线路功能，支持配置主备线路组和流量分配模式的多线路选路策略；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*支持硬件特征码绑定认证；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*IPsec VPN支持与LDAP服务器、Radius服务器结合认证；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链路负载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支持按剩余带宽、带宽比例、平均分配、前面优先的方式进行多链路负载；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支持使用VPN做专线备份；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支持链路故障检测；（提供产品界面截图）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排障工具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提供图形化排障工具，便于管理员排查策略错误等故障；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上网故障排除系统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支持开启直通后，流量控制模块依然生效，避免全部数据直通导致线路流量过大；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实时监控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设备资源信息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提供设备实时CPU、内存、磁盘占有率、在线用户数、系统时间、网络接口等信息；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★首页可视化分析展示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支持首页分析显示接入用户人数、终端类型、认证方式；带宽质量分析、实时流量排名；泄密风险、违规访问、共享上网等行为风险情况；（提供产品界面截图）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流量状态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实时提供用户流量排名、应用流量排名、所有线路应用流速趋势、流量管理状态、连接监控信息；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安全状态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实时显示当天的安全状况，最后发生安全事件的时间、类型、总次数、源对象，帮助管理员管理上网安全；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上网行为监控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实时显示设置过滤条件的用户上网行为监控，支持手动设置刷新时间；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★Web访问质量检测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1.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针对内网用户的web访问质量进行检测，对整体网络提供清晰的整体网络质量评级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2.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支持以列表形式展示访问质量差的用户名单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支持对单用户进行定向web访问质量检测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★支持网络故障排查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支持PPS异常、丢包异常、ARP异常、内网DOS攻击等异常情况实时监测，显示每日异常事件个数及情况；（提供产品界面截图）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★支持权限策略故障排查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支持针对上网权限策略进行检测分析，查看各个应用是否匹配相关策略；（提供产品界面截图）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用户认证故障排查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支持针对用户认证的故障进行分析，给出错误详情以及处置建议；（提供产品界面截图）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用户管理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本地认证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支持触发式WEB认证，静态用户名密码认证等；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第三方认证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支持LDAP、Radius、POP3、Proxy等第三方认证；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Radius必须支持GBK和UTF-8编码格式可选；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支持ISA\lotus ldap\novel ldap\oracle、sql server、db2、mysql等数据库等第三方认证；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USB-KEY双因素认证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必须支持以USB-Key方式实现双因素身份认证；（提供产品界面截图）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IP、MAC认证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支持绑定IP认证、绑定MAC认证，及IP/MAC绑定认证等；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支持通过SNMP服务器跨三层获取MAC地址；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支持当用户MAC地址变动时，需要重新认证；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多终端自绑定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同一个账号，支持与指定数量的多个终端进行自动绑定；（提供产品界面截图）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短信认证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支持短信认证方式，用户输入手机号作为用户名，通过短信猫或短信平台发送验证码；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短信认证能够根据不同用户推送不同认证页面，该认证页面可自定义，编辑内容包括文字、颜色风格、图片，且图片支持轮询播放（提供界面证明）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必须支持网关类型为HTTP协议时，发送国家码可配；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微信认证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 支持与微信结合的认证方式，用户关注微信公众号后即通过身份认证，后台记录用户ID（提供产品界面截图）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2.与第三方微信平台无缝对接，不需要修改第三方微信平台代码；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3、支持不同分支选择不同的微信公众号进行认证；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★二维码认证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支持二维码认证，管理员扫描访客的二维码后对其网络访问授权（提供产品界面截图）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新用户认证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基于IP网段、VlanID、MAC地址等实现新用户差异化的账户创建、自动分组、认证规则；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支持认证前使用某个组织结构的上网权限；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支持认证黑白名单功能，黑名单是名单中用户不能认证，白名单是只有名单中用户才能认证；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限制某个新用户只能在某个IP段、MAC段范围内登录；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自定义用户属性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支持为用户添加自定义属性（职位、临时项目组、邮件组等），能够根据用户属性自动归类并可以针对用户属性配置上网权限策略、流控策略，审计策略等（提供产品界面截图，）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认证页面管理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支持认证页面分权分域管理。启用后，普通管理员只能看到自己有权限的页面，其他管理员页面不可见。 系统管理员可以将某个页面授权给指定的普通管理员管理。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公用账户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支持多人使用同一帐号登录，且支持重复登陆检测机制；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支持限制公共账号的使用人数；（提供产品界面截图）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账户有效期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指定账户支持有效期限制，并支持自动过期；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支持自动删除长期不登录账号信息；（提供产品界面截图）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单点登录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支持radius、AD、POP3、Proxy、PPPOE、 H3C IMC/CAMS、锐捷 SAM、城市热点等系统进行认证单点登录，简化用户操作；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可强制指定用户、指定IP段的用户必须使用单点登录；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强制AD认证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指定用户必须用AD域账户登录操作系统，否则禁止上网；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LDAP服务器的域对象的策略管理与同步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不需同步AD域用户到本地组织结构中，即可实现配置各种上网管控策略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认证失败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支持为认证失败用户提供DNS等基本网络访问权限机制；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认证后页面跳转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认证成功的用户支持页面跳转：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1.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跳转到用户原本输入的URL地址；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2.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跳转到管理员指定的URL地址；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跳转到注销页面;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帐户导入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支持从本地导入和扫描导入，支持以CSV格式文件导入帐户/分组/IP/MAC/描述/密码等信息；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组织结构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用户分组支持树形结构，支持父组、子组、组内套组等；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用户状态查询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支持用户登录时间、注销时间、在线时长的查询；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自动注销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支持自动注销指定时间内无流量的已认证用户；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冻结用户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支持冻结认证失败次数超过最大值的用户，在冻结时间结束后恢复登录；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★用户密码强度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可对用户密码强度进行限制，如设置用户密码不能等于用户名；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新密码不能与旧密码相同；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可设置密码最小长度；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可设置密码必须包括数字或字母或特殊字符；（提供产品界面截图）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终端管理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系统识别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支持识别终端操作系统版本、系统补丁安装情况；（必须提供自主知识产权证明）；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文件识别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支持识别终端硬盘指定目录下的文件情况；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进程识别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支持识别终端系统后台运行的进程信息，防止间谍软件的运行；（必须提供自主知识产权证明）；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注册表识别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支持识别终端系统注册表中指定的表项和键值；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★★自定义计划任务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支持终端调用管理员指定脚本/程序以满足个性化检查要求，比如检测系统更新是否开启、开放端口、已安装程序列表、终端发通知等；（提供产品界面截图）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终端准入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支持win 8 64位操作系统，支持在旁路模式部署下准入生效；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支持禁止不满足终端检查要求的用户访问互联网；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★补丁检测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支持检测windows重要补丁的安装情况，并反馈检测结果； （提供产品界面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lastRenderedPageBreak/>
              <w:t>截图）</w:t>
            </w:r>
          </w:p>
        </w:tc>
      </w:tr>
      <w:tr w:rsidR="00B8530B" w:rsidTr="00B8530B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lastRenderedPageBreak/>
              <w:t>应用管理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应用识别规则库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1.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支持根据标签选择应用，标签分类至少包含安全风险、高带宽消耗、发送电子邮件、降低工作效率、外发文件泄密风险、主流论坛和微博发帖6大类；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2.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支持给每个应用自定义标签；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支持根据标签选择一类应用做控制；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4.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支持对每一种应用的定义和解释，帮助客户快速定位应用的分类；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5.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支持给每一种应用列上图标，易于客户了解应用的特征。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★应用控制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1.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设备内置应用识别规则库，支持超过6000条应用规则数，支持超过2800种以上的应用，1000种以上移动应用，并保持每两个星期更新一次，保证应用识别的准确率；（提供产品界面截图）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2.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支持根据IP、端口、协议等自定义应用规则；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支持根据不同的应用类型或具体的某种应用设置允许或拒绝；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 </w:t>
            </w:r>
            <w:r>
              <w:rPr>
                <w:rFonts w:asciiTheme="minorEastAsia" w:hAnsiTheme="minorEastAsia" w:cs="Arial Unicode MS" w:hint="eastAsia"/>
                <w:kern w:val="0"/>
                <w:sz w:val="18"/>
                <w:szCs w:val="18"/>
              </w:rPr>
              <w:t>★应用细分控制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1.能够对新浪微博、腾讯微博、网易微博等进行细分控制，如：登录、浏览、发微博、上传附件等。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2.能够对teamview、QQ远程桌面等远程控制应用做细分控制，如：接受对方远程控制；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3.能够对Github、百度网盘、百度文库等网络应用的上传动作进行细分控制；（所有功能必须提供产品界面截图）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移动应用的细分控制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支持对移动应用的细分权限控制，微信：微信网页版、微信传文件、微信朋友圈、微信游戏。移动QQ：QQ传文件、QQ视频语音等。（提供产品界面截图）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端口控制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支持根据端口设定用户不允许访问的目标IP组提供的服务；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QQ白名单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支持基于用户组、终端类型、位置的QQ白名单功能。（提供产品界面截图）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代理控制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1.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不允许使用外部HTTP代理；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2.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不允许使用外部Sock4/5代理；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3.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  <w:lang w:eastAsia="zh-TW"/>
              </w:rPr>
              <w:t xml:space="preserve">    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不允许在HTTP,SSL一些的标准端口上使用其他协议；（比如在80端口上传输非HTTP协议数据，在443端口上传输非HTTPS协议数据等）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★共享接入管理（防共享）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设备能够发现私接路由（或者共享软件等）共享网络的行为：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1.支持自定义配置终端数量和冻结时间。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2.支持“仅统计电脑”和“统计所有终端”两种模式。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3.支持可选“冻结IP”还是“冻结用户名”。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4.支持添加信任列表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5.支持显示以IP或用户名的维度统计一段时间内的趋势图。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6.支持例外排除功能：如冻结条件是2. 指定例外条件1台PC，2个终端。当PC或终端数超过例外条件才会被判定为共享。（提供产品界面截图）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7.支持在数据中心报表中可查询通过共享上网的IP、用户，并能导出报表； 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网页管理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静态URL库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设备内置海量预分类的URL地址库，支持根据URL类别实现URL过滤；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SSL加密网页内容识别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识别并过滤SSL加密的钓鱼网站、非法网站等（必须提供自主知识产权证明）；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支持SSL硬件加速卡解密，从而可提高SSL全流量解密性能；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自定义URL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设备支持管理者自定义新的URL地址和URL分类；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关键字过滤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过滤同时匹配三个以上关键字的搜索行为；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过滤同时匹配三个以上关键字的网页访问行为；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网页过滤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支持根据访问的URL、网页关键字进行网页过滤，支持设置拒绝以IP访问网页行为；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支持在放行URL时，自动放行主域名的子链接中被禁止的网站，保证网页显示完整；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发帖管理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过滤同时匹配三个以上关键字过滤的网络发帖行为；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必须支持允许用户浏览帖子但不准发帖功能；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SSL发帖管理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必须支持基于关键字过滤SSL加密的网页、论坛、BBS上的发帖行为；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网页附件管理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支持根据文件类型限制http、FTP方式上传、下载行为；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邮件管理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邮件地址过滤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支持根据源地址和目的地址过滤外发邮件；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邮件附件过滤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支持基于扩展名过滤含指定文件类型的邮件外发行为；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支持根据附件大小、附件个数限制外发邮件；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邮件关键字过滤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过滤同时匹配三个以上关键字的邮件主题、正文和附件的邮件外发行为；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Webmail管理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必须支持允许用户登录Webmail收邮件，而禁止发送Webmail邮件的功能；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SSL邮件管理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必须能基于关键字、发件人地址等识别和过滤使用邮件客户端外发SSL加密邮件的行为；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加密Webmail管理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必须能够基于关键字识别和过滤使用SSL加密的Webmail邮箱外发邮件的行为，比如QQ邮箱；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★加密SMTP邮件过滤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支持对加密HTTPS、SMTP-SSL、SMTP的邮件进行关键字过滤；（提供产品界面截图）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★加密SMTP、POP3邮件审计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支持对加密HTTPS、POP3-SSL 、POP3、IMAP 、IMAP-SSL、SMTP-SSL、SMTP邮件内容的审计。（提供产品界面截图）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上网权限管理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上网时长控制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支持统计和控制用户终端每天上网时间，并支持排除应用或特殊端口后的灵活流量统计方法；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时间配额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支持对单个用户/用户组、位置、终端类型等设置一天内总上网时长；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支持将超过配额的用户/用户组添加到低带宽惩罚通道；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外发文件类型过滤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支持HTTP上传/FTP/邮件附件等形式的外发文件行为，支持基于扩展名识别并拦截外发文件；（提供产品配置界面）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并发连接控制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支持限制指定用户最大并发连接数；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上网时间提醒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用户指定应用上网时长超过预设阈值后，网关自动提醒该用户；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上网流速提醒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用户指定应用上网流速超过预设阈值后，网关自动提醒该用户；（提供产品配置界面）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策略复用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上网策略对象与用户无关联，同一条上网策略可复用、重用；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策略有效期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必须支持上网策略对象的自动过期功能；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排除IP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不控制、不监控目标为排除IP的上网行为；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排除域名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不控制、不监控目标为排除域名的上网行为；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★上网策略适用多种对象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上网策略适用对象，适用于以下对象和应用类型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（包括上网权限、上网审计、上网安全等上网策略）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一、用户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1、本地组，2、域安全组，3、域用户(ou和用户)，4、域属性组，5、源IP，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6、用户属性组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二、位置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三、终端类型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四、URL类型控制（上网权限）</w:t>
            </w:r>
          </w:p>
        </w:tc>
      </w:tr>
      <w:tr w:rsidR="00B8530B" w:rsidTr="00B8530B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能够针对：网上购物、成人内容、求职招聘、宗教、在线影音及下载、游戏资讯、网上聊天、个人网站及博客、色情、赌博、非法药物、风水命理、娱乐场所、汽车、餐饮、钓鱼及恶意网站、网上银行、在线支付等各种URL类型做识别和分类，同时所有URL类型都支持区分“网站浏览”、“文件上传”、“其他上传”、“HTTPS”等细分行为并分别做权限控制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流量控制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带宽管理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必须支持在不同线路上，根据不同的应用、用户/用户组、位置、终端类型来保证或者限制流量；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支持根据百分比或数值设置通道带宽，并支持设置各通道的优先级；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★多线路技术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网关必须能同时连接多条外网线路，且支持多条线路流量复用和智能选择流速最快线路的技术(必须提供自主知识产权证明)；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★虚拟多线路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必须支持将多条外网线路虚拟映射到设备上，实现对多线路的分别流控；（提供产品界面截图）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父子通道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必须支持流量父子通道技术，且至少支持三级父子通道；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★流控通道实时可视化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能够实时看到各级流控通道的状态：包括所属线路、瞬时速率、通道占用比例、用户数、保证带宽、最大带宽、优先级，启用状态等。（提供产品界面截图）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应用流控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支持基于应用类型、网站类型和文件类型划分与分配带宽；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动态流控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支持在设置流量策略后，根据整体线路或者某流量通道内的空闲情况，自动启用和停止使用流量控制策略，以提升带宽的高使用率；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空闲值可自定义（提供产品界面截图）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★P2P智能流控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支持通过抑制P2P的上行流量，来减缓P2P的下行流量，从而解决网络出口在做流控后仍然压力较大的问题；（提供产品界面截图）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流控黑名单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基于“流量”、“流速”、“时长”设置配额，当配额耗尽后，将用户加入到指定的流控黑名单惩罚通道中（提供产品界面截图）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单IP限制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支持限制单个IP的最大上行和下行带宽；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★Wan-lan流控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支持把每一个外网IP作为通道内的用户，使得通道的用户间公平分配带宽，以及单用户最高带宽属性对外网IP有效；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时间控制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支持基于时间段的带宽划分与分配策略；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支持按日期设置流控策略，比如针对节假日设置不同流控策略；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目标IP流控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支持基于访问行为的目标IP/IP组实现带宽划分与分配；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流量配额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支持对单个用户/用户组、位置、终端类型等设置日流量、月流量配额功能；必须支持流量配额的配置、实时使用量查询；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流控单位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支持灵活配置流控单位是IP还是用户名（适用于公共账号：多个IP公用一个账号时，可以对每个IP进行限速，更加灵活准确）（提供产品界面截图）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★流控策略适用多种对象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流控策略适用对象，适用于以下对象：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一、用户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1、本地组，2、安全组，3、域用户(ou和用户)，4、域属性，5、源IP，6、用户属性组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二、位置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三、适用终端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四、文件类型：电影、音乐、图片、压缩文件、应用程序等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五、URL类型：新闻门户、网上购物、在线影音及下载、非法及不良、网上聊天、软件下载等（提供产品界面截图）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★移动终端管理(非法Wi-Fi热点管控)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设备必须支持能自动发现网络中通过无线上网的热点和移动终端的IP和终端类型；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支持管理员配置热点信任列表；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支持发现信任列表外非法接入的热点和终端，并阻止该热点/终端上网；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支持将非法热点接入网络的行为通过邮件告警通知管理员，并在数据中心支持行为记录和查询；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支持以图表方式显示移动终端接入趋势；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支持移动终端型号识别，至少识别不少于10种移动终端型号；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DHCP移动终端识别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支持DHCP协议增强移动终端识别能力；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防范DOS攻击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必须能识别并封堵来自于内网或外网的DOS攻击；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防ARP欺骗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必须能防范三层网络环境中的ARP欺骗问题；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★病毒查杀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设备必须内置业界知名杀毒引擎；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设备需支持僵尸主机检测；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必须支持HTTP下载、FTP下载、POP3、SMTP杀毒；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支持对HTTP、FTP等下载中启用文件类型杀毒；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 xml:space="preserve">病毒库支持通过服务器或本地加载病毒库方式定期升级； 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★https杀毒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必须支持https杀毒功能；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防火墙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必须具有防火墙功能模块；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上网行为审计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网站审计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支持记录全部或者指定类别URL、网页标题等信息；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网页内容审计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必须能审计记录网页正文内容；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必须支持只记录含有指定关键字的网页正文内容；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必须支持记录SSL加密网页的内容；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★加密证书自动分发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审计SSL网页时，支持加密证书自动分发功能，用户点击网页上的工具即可一次性安装完成。解决管理员给每台PC单独安装证书的问题（要求提供产品界面截图）</w:t>
            </w:r>
          </w:p>
        </w:tc>
      </w:tr>
      <w:tr w:rsidR="00B8530B" w:rsidTr="00B8530B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★加密证书自定义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支持用户可以自定义产生根证书，导入包含秘钥的根证书；</w:t>
            </w:r>
          </w:p>
        </w:tc>
      </w:tr>
      <w:tr w:rsidR="00B8530B" w:rsidTr="00B8530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审计分权限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支持对网页过滤和网页审计分开控制；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支持审计指定类型的URL，其他URL类型不予审计，以提高审计效率；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支持在审计时，将行为与内容分离，即可分别设置只审计用户行为还是审计内容；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发帖审计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支持审计用户的明文发帖内容；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必须能审计用户在SSL加密论坛、BBS上的发帖内容；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★网页快照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支持网页内容审计后的网页快照功能；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Webmail审计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支持审计用户的Webmail邮件外发行为，支持webmail形式发送的附件审计，并能精准到原始邮件；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必须能审计用户通过SSL加密Webmail网站外发邮件的内容；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邮件审计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支持审计用户外发Email邮件的正文及附件；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必须能审计用户使用邮件客户端外发SSL加密邮件的邮件内容；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文件外发审计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支持审计用户通过HTTP、FTP、Email当方式外发的文件内容；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必须能对加密文件外发行为识别并记录；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Web IM 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记录Web qq、Web微信的聊天内容、登陆和注销行为，且不需要安装插件；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IM审计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支持记录QQ、TIM、微信、skype、MSN等主流IM聊天行为和内容；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支持根据QQ、微信账号查询IM聊天行为和内容；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IM 传文件内容审计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记录QQ、微信传文件动作和所传文件内容，并可指定记录传文件类型和文件长度；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支持同时审计QQ聊天内容和QQ传文件内容。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移动APP审计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支持以下类型的移动APP内容审计：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论坛类（IOS和android）：天涯社区、猫扑社区、百度贴吧、新浪论坛、搜狐社区等</w:t>
            </w:r>
          </w:p>
        </w:tc>
      </w:tr>
      <w:tr w:rsidR="00B8530B" w:rsidTr="00B8530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微博类（IOS和android）:</w:t>
            </w:r>
            <w:r>
              <w:rPr>
                <w:rFonts w:asciiTheme="minorEastAsia" w:hAnsiTheme="minorEastAsia" w:cs="宋体" w:hint="eastAsia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新浪微博、腾讯微博等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新闻评论类（IOS和android）：QQ新闻、搜狐新闻、新浪新闻、凤凰新闻等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FTP审计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支持审计通过FTP上传的文件名和内容；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支持审计通过FTP下载的文件名；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TELNET审计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支持审计TELNET执行的命令；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应用审计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审计用户使用P2P、流媒体、炒股、网络游戏、FTP、Telnet等应用行为；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时间审计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记录用户在指定时间段内的总上网时间；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记录用户在指定时间段内使用指定应用的总时长；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流量审计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支持统计在指定时间段内网络应用流量  产生的总流量；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记录用户在指定时间段内使用指定应用的总流量；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其他行为审计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支持记录其他网络行为，包括IP、端口等信息；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系统日志审计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支持审计管理员的操作日志、系统日志等；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★特权DKey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支持针对特权用户配置免认证key、免审计key、免控制key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免审计IP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免除审计目标为指定IP的上网行为；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免审计域名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免除审计目标为指定域名的上网行为；</w:t>
            </w:r>
          </w:p>
        </w:tc>
      </w:tr>
      <w:tr w:rsidR="00B8530B" w:rsidTr="00B8530B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上网日志管理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★数据中心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设备必须支持内置数据中心和独立数据中心（提供产品界面截图）；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★高性能日志模式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支持日志高性能模式处理，精简冗余日志（提供产品界面截图）；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日志分级审查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管理员登录数据中心只能审计指定用户组的上网行为日志；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日志中心操作安全保障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日志中心所有导出都有对应管理员操作日志、系统日志的日志清理中记录数据删除日志、规则库升级有对应升级日志；支持日志中心网关杀毒；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★日志审查Key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必须支持以USB-Key方式验证接入数据中心的管理员身份；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支持以USB-Key方式分配管理员的日志审计权限；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用户行为报表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支持查询和导出基于指定时间段/用户/用户组的文件审计、邮件收发、访问网站、即时通讯、发帖/微博、搜索关键字等详细用户行为的报表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终端接入日志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支持查询和导出基于指定时间段/用户/用户组的防共享接入日志、移动终端发现日志、准入日志、登录注销日志等行为日志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流量排行报表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支持基于时间段/用户/用户组/终端类型/位置等维度的应用流量排行、网站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lastRenderedPageBreak/>
              <w:t>分类流量排行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流速趋势报表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支持基于时间段/用户/用户组/终端类型/位置等维度的应用流速趋势、网站分类流速趋势报表（提供产品界面截图）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流控通道趋势报表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支持基于通道流速、通道总用户数、通道活跃用户数等维度的流速趋势分析报表（提供产品界面截图）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域名流量排行报表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支持基于时间段/用户/用户组/终端类型/位置等维度，针对具体某个域名的访问流量排行；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支持基于时间/用户/用户组/上行/下行/总体等维度的域名流量排行；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时长排行报表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支持提供基于时间段/用户/用户组的应用时长排行和网站分类时长排行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域名时长排行报表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支持基于时间段/用户/用户组/终端类型/位置等维度，针对具体某个域名的访问时长排行；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支持基于时间/用户/用户组/上行/下行/总体等维度的域名时长排行；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用户行为次数排行报表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支持基于时间段/用户/用户组/终端类型/位置等维度的文件审计、邮件收发、访问网站、即时通讯、发帖/微博、搜索关键字、网站分类等详细的行为次数排行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热门应用排行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支持基于时间段/用户/用户组的热门应用类型或热门具体应用的行为次数排行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行为趋势报表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支持基于时间段/用户/用户组/终端类型/位置等维度的应用行为趋势、网站分类行为趋势报表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域名行为排行报表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支持基于时间段/用户/用户组/终端类型/位置等维度，针对具体某个域名的访问行为排行；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支持基于时间/用户/用户组/上行/下行/总体等维度的域名访问排行；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热门发帖访问排行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支持基于时间段/用户/用户组的热门发帖行为次数排行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单用户行为分析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针对单用户的行为分析（包括：应用流速趋势、应用流量排行、域名流量排行、应用时长排行、域名时长排行、行为汇总排行等）（提供产品界面截图）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终端接入分析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支持共享接入、终端类型、接入用户数的排行和趋势分析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终端接入安全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支持基于用户和病毒等维度的行为次数排行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搜索中心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基于时间、用户/组、终端类型、位置、日志类型等条件下的关键字检索定位功能；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必须支持对日志中OFFICE等附件正文内容关键字的检索；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关键字订阅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支持预置几组关键字，当审计日志中出现这些关键字时，将定期以邮件的方式发送报告给指定邮箱（提供产品界面截图）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网络整体状况报表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从带宽健康分析、工作效率分析、离职风险分析、合规性分析四个大块对网络整体状况进行说明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离职风险报表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从用户上网行为的多个维度（如访问网站、搜索关键字等）分析员工的离职风险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工作效率报表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从用户上网行为的多个维度（如访问网站、使用应用等）分析员工的工作效率</w:t>
            </w:r>
          </w:p>
        </w:tc>
      </w:tr>
      <w:tr w:rsidR="00B8530B" w:rsidTr="00B8530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自定义报表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从流量分析、时长分析、用户行为分析、网站分类分析、终端接入分析、终端接入安全等多维度下选择具体的基于用户/用户组/终端/网站/域名/应用/通道/搜索关键字等细粒度的排行、趋势等报表，整合成一个自定义报表进行订阅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支持各细粒度报表直接拖拽进行整合成新报表，支持新建章节和预览功能；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报表订阅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支持按预置周期将网络整体状况报表、离职风险报表、工作效率报表、以及自定义报表等自动发送到指定邮箱；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报表导出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支持导出所有查询和报表都支持导出；必须支持导出csv格式的报表；最大支持导出10万条，外置对大支持导出100万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下钻查询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在流量时长分析、用户行为分析、终端接入分析等纬度相关页面支持对统计结果的向下钻取查询（提供产品界面截图）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递进式统计分析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支持在页面上（应用流量排行、网站分类流量排行、应用时长排行、网站分类时长排行）一次统计，能够基于两个维度（提供产品界面截图）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Arial Unicode MS"/>
                <w:kern w:val="0"/>
                <w:szCs w:val="21"/>
              </w:rPr>
            </w:pPr>
            <w:r>
              <w:rPr>
                <w:rFonts w:asciiTheme="minorEastAsia" w:hAnsiTheme="minorEastAsia" w:cs="Arial Unicode MS" w:hint="eastAsia"/>
                <w:kern w:val="0"/>
                <w:szCs w:val="21"/>
              </w:rPr>
              <w:t> </w:t>
            </w:r>
            <w:r>
              <w:rPr>
                <w:rFonts w:asciiTheme="minorEastAsia" w:hAnsiTheme="minorEastAsia" w:cs="Arial Unicode MS" w:hint="eastAsia"/>
                <w:kern w:val="0"/>
                <w:sz w:val="18"/>
                <w:szCs w:val="18"/>
              </w:rPr>
              <w:t>数据分析应用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数据中心可以对上网日志进行大数据分析，并支持多个大数据分析模型，包括泄密分析、离职倾向分析、上网态势分析、带宽分析、工作效率分析。（提供产品界面截图）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泄密追溯分析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支持分析整体外发风险概括，包括外发敏感文件的总次数、文件类型、外发通路等状况；（提供产品界面截图）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支持泄密行为追溯，可以上传文件和关键词，查询有过相关外发记录的人员，通过相似度匹配给出风险人员排行；（提供产品界面截图）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工作效率分析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支持整体工作效率分析，展示整体的日均工作无关时长和怠工总人数，以及工作无关应用时长趋势；（提供产品界面截图）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支持部门分析和具体人员分析，包含影响工作效率因素分析、影响时段分析、工作效率趋势分析、怠工人员分析；</w:t>
            </w:r>
          </w:p>
        </w:tc>
      </w:tr>
      <w:tr w:rsidR="00B8530B" w:rsidTr="00B8530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离职倾向分析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支持识别组织中有离职倾向的人员，给出风险等级，分为高风险人员和疑似人员；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可查看具有离职倾向人员的判定依据，判定依据从简历投递、访问求职网站等多个维度综合判定；（提供产品界面截图）</w:t>
            </w:r>
          </w:p>
        </w:tc>
      </w:tr>
      <w:tr w:rsidR="00B8530B" w:rsidTr="00B8530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  <w:lang w:eastAsia="zh-TW"/>
              </w:rPr>
              <w:t>网安日志对接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★支持与多种网安日志平台对接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内置多套日志模板与各省市网安日志平台对接，至少支持以下平台：派博、任子行、网博、云辰、烽火、中新软件、兆物、新网程、美亚柏科、爱思等。（提供产品界面截图）</w:t>
            </w:r>
          </w:p>
        </w:tc>
      </w:tr>
      <w:tr w:rsidR="00B8530B" w:rsidTr="00B8530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 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18"/>
                <w:szCs w:val="18"/>
              </w:rPr>
              <w:t>多产品联动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支持与同品牌防火墙联动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能够与同品牌下一代防火墙系统实现认证联动，同时部署产品后，可以实现认证同步机制，实现单点登录；（提供截图证明文件）</w:t>
            </w:r>
          </w:p>
        </w:tc>
      </w:tr>
      <w:tr w:rsidR="00B8530B" w:rsidTr="00B8530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支持与同品牌安全态势感知产品联动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能够与同品牌安全态势感知产品实现联动，实现用户同步，以基于用户身份进行威胁分析；（提供截图证明文件）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支持与同品牌认证中心联动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bookmarkStart w:id="4" w:name="RANGE!C293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1、支持分支与认证中心无缝对接，在总部实现用户认证策略、用户组织结构、在线用户的统一管理、统一认证；（提供截图证明文件）</w:t>
            </w:r>
            <w:bookmarkEnd w:id="4"/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2、支持同一上网账号可在不同分支实现无感知漫游认证，且在认证后自动获取授权，在不同分支拥有相同的上网权限，匹配相同的上网策略，实现权随人行的漫游认证服务； </w:t>
            </w:r>
          </w:p>
        </w:tc>
      </w:tr>
      <w:tr w:rsidR="00B8530B" w:rsidTr="00B8530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3、支持当分支与认证中心通信异常时，可通过认证逃生机制或策略，保证各分支可独立进行认证上网。认证中心恢复时，再对用户重新进行认证，保障用户身份安全。（提供截图证明文件）</w:t>
            </w:r>
          </w:p>
        </w:tc>
      </w:tr>
      <w:tr w:rsidR="00B8530B" w:rsidTr="00B8530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0B" w:rsidRDefault="00B853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支持与同品牌端点安全检测产品联动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30B" w:rsidRDefault="00B8530B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  <w:lang w:eastAsia="zh-TW"/>
              </w:rPr>
              <w:t>能够与同品牌EDR产品实现联动，当检测到终端未安装EDR产品时，禁止上网并提示需要安装EDR终端软件；（提供截图证明文件）</w:t>
            </w:r>
          </w:p>
        </w:tc>
      </w:tr>
    </w:tbl>
    <w:p w:rsidR="00B8530B" w:rsidRPr="00B8530B" w:rsidRDefault="00B8530B" w:rsidP="00B8530B">
      <w:pPr>
        <w:ind w:firstLineChars="150" w:firstLine="315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厂商及产品资质要求</w:t>
      </w:r>
    </w:p>
    <w:tbl>
      <w:tblPr>
        <w:tblStyle w:val="TableNormal"/>
        <w:tblW w:w="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B8530B" w:rsidTr="00B8530B">
        <w:trPr>
          <w:trHeight w:val="79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spacing w:before="100" w:line="20" w:lineRule="atLeast"/>
              <w:jc w:val="center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投标产品资质要求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rFonts w:ascii="微软雅黑" w:eastAsia="微软雅黑" w:hAnsi="微软雅黑" w:cs="微软雅黑"/>
                <w:color w:val="auto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公安部颁发的《计算机信息系统安全专用产品销售许可证》如：</w:t>
            </w:r>
          </w:p>
          <w:p w:rsidR="00B8530B" w:rsidRDefault="00B8530B">
            <w:pPr>
              <w:pStyle w:val="Ab"/>
              <w:jc w:val="left"/>
              <w:rPr>
                <w:rFonts w:ascii="微软雅黑" w:eastAsia="微软雅黑" w:hAnsi="微软雅黑" w:cs="微软雅黑"/>
                <w:color w:val="auto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《网络通讯安全审计产品（国标） 销售许可证》</w:t>
            </w:r>
          </w:p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lastRenderedPageBreak/>
              <w:t>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《互联网公共上网场所 信息安全管理系统（无线接入前端）销售许可证》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中国信息安全认证中心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ISCCC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《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产品信息安全产品认证证书》</w:t>
            </w:r>
          </w:p>
        </w:tc>
      </w:tr>
      <w:tr w:rsidR="00B8530B" w:rsidTr="00B8530B">
        <w:trPr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国家网络与信息系统安全产品质量监督检测中心颁发的《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eastAsia="zh-TW"/>
              </w:rPr>
              <w:t>国家信息安全测评/ 信息技术产品安全测评证书（EAL3级）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》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具有工信部颁发的《电信设备进网许可证》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IPv6 Ready Phase-2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认证</w:t>
            </w:r>
          </w:p>
        </w:tc>
      </w:tr>
      <w:tr w:rsidR="00B8530B" w:rsidTr="00B8530B">
        <w:trPr>
          <w:trHeight w:val="4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应为市场成熟产品，最近两年在国内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IDC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内容安全市场占有率排名都在前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5</w:t>
            </w:r>
          </w:p>
        </w:tc>
      </w:tr>
      <w:tr w:rsidR="00B8530B" w:rsidTr="00B8530B">
        <w:trPr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★★★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产品应具备相当的技术认可度，最近两年产品曾入围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Gartner SWG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魔力象限</w:t>
            </w:r>
          </w:p>
        </w:tc>
      </w:tr>
      <w:tr w:rsidR="00B8530B" w:rsidTr="00B8530B">
        <w:trPr>
          <w:trHeight w:val="53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spacing w:before="100" w:line="20" w:lineRule="atLeast"/>
              <w:jc w:val="center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投标产品生产商资质要求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★★★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国家标准《信息安全技术信息系统安全审计产品 技术要求和测试评价方法》的主要起草单位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公司研发体系通过国际认证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CMMI5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★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国家应急中心应急支撑单位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CNCERT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证书（国家级）</w:t>
            </w:r>
          </w:p>
        </w:tc>
      </w:tr>
      <w:tr w:rsidR="00B8530B" w:rsidTr="00B8530B">
        <w:trPr>
          <w:trHeight w:val="2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B8530B" w:rsidRDefault="00B8530B">
            <w:pPr>
              <w:rPr>
                <w:rFonts w:eastAsia="Arial Unicode MS" w:cs="Arial Unicode MS"/>
                <w:szCs w:val="21"/>
                <w:u w:color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8530B" w:rsidRDefault="00B8530B">
            <w:pPr>
              <w:pStyle w:val="Ab"/>
              <w:jc w:val="left"/>
              <w:rPr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售后服务体系通过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</w:rPr>
              <w:t>ISO9001</w:t>
            </w:r>
            <w:r>
              <w:rPr>
                <w:rFonts w:ascii="微软雅黑" w:eastAsia="微软雅黑" w:hAnsi="微软雅黑" w:cs="微软雅黑" w:hint="eastAsia"/>
                <w:color w:val="auto"/>
                <w:sz w:val="18"/>
                <w:szCs w:val="18"/>
                <w:lang w:val="zh-TW" w:eastAsia="zh-TW"/>
              </w:rPr>
              <w:t>认证</w:t>
            </w:r>
          </w:p>
        </w:tc>
      </w:tr>
    </w:tbl>
    <w:p w:rsidR="00B8530B" w:rsidRPr="00B8530B" w:rsidRDefault="00B8530B" w:rsidP="00B8530B">
      <w:pPr>
        <w:pStyle w:val="a5"/>
        <w:ind w:left="42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B8530B" w:rsidRPr="00B8530B" w:rsidRDefault="00B8530B" w:rsidP="00B8530B">
      <w:pPr>
        <w:pStyle w:val="a5"/>
        <w:ind w:left="420" w:firstLineChars="0" w:firstLine="0"/>
        <w:outlineLvl w:val="0"/>
        <w:rPr>
          <w:rFonts w:asciiTheme="minorEastAsia" w:eastAsiaTheme="minorEastAsia" w:hAnsiTheme="minorEastAsia"/>
          <w:sz w:val="28"/>
          <w:szCs w:val="28"/>
        </w:rPr>
      </w:pPr>
    </w:p>
    <w:sectPr w:rsidR="00B8530B" w:rsidRPr="00B8530B" w:rsidSect="00A8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FD" w:rsidRDefault="00C45FFD" w:rsidP="001E038D">
      <w:r>
        <w:separator/>
      </w:r>
    </w:p>
  </w:endnote>
  <w:endnote w:type="continuationSeparator" w:id="0">
    <w:p w:rsidR="00C45FFD" w:rsidRDefault="00C45FFD" w:rsidP="001E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FD" w:rsidRDefault="00C45FFD" w:rsidP="001E038D">
      <w:r>
        <w:separator/>
      </w:r>
    </w:p>
  </w:footnote>
  <w:footnote w:type="continuationSeparator" w:id="0">
    <w:p w:rsidR="00C45FFD" w:rsidRDefault="00C45FFD" w:rsidP="001E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5A3"/>
    <w:multiLevelType w:val="hybridMultilevel"/>
    <w:tmpl w:val="ED322C76"/>
    <w:lvl w:ilvl="0" w:tplc="7B8E9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881AAD"/>
    <w:multiLevelType w:val="hybridMultilevel"/>
    <w:tmpl w:val="F19A455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20B5817"/>
    <w:multiLevelType w:val="hybridMultilevel"/>
    <w:tmpl w:val="0B1200DE"/>
    <w:lvl w:ilvl="0" w:tplc="687E0C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FD35A3"/>
    <w:multiLevelType w:val="hybridMultilevel"/>
    <w:tmpl w:val="D0C21EFA"/>
    <w:lvl w:ilvl="0" w:tplc="0B8AFC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0C403C"/>
    <w:multiLevelType w:val="hybridMultilevel"/>
    <w:tmpl w:val="43CEA73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F42319B"/>
    <w:multiLevelType w:val="hybridMultilevel"/>
    <w:tmpl w:val="6068F7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0F48B8"/>
    <w:multiLevelType w:val="hybridMultilevel"/>
    <w:tmpl w:val="E53E1198"/>
    <w:lvl w:ilvl="0" w:tplc="85DE11A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E72F1"/>
    <w:multiLevelType w:val="hybridMultilevel"/>
    <w:tmpl w:val="4B9E43F6"/>
    <w:lvl w:ilvl="0" w:tplc="A67A022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680F8B"/>
    <w:multiLevelType w:val="hybridMultilevel"/>
    <w:tmpl w:val="9CD4FC28"/>
    <w:lvl w:ilvl="0" w:tplc="CC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17C7B2A"/>
    <w:multiLevelType w:val="hybridMultilevel"/>
    <w:tmpl w:val="01F2F85A"/>
    <w:lvl w:ilvl="0" w:tplc="CB88B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4B177EF"/>
    <w:multiLevelType w:val="hybridMultilevel"/>
    <w:tmpl w:val="A56EDF72"/>
    <w:lvl w:ilvl="0" w:tplc="ACF240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C46998"/>
    <w:multiLevelType w:val="hybridMultilevel"/>
    <w:tmpl w:val="5EFC3C48"/>
    <w:lvl w:ilvl="0" w:tplc="D914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A35BD9"/>
    <w:multiLevelType w:val="hybridMultilevel"/>
    <w:tmpl w:val="B19AECCC"/>
    <w:lvl w:ilvl="0" w:tplc="6520D6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3656FAD"/>
    <w:multiLevelType w:val="hybridMultilevel"/>
    <w:tmpl w:val="1FC0663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0B77FC"/>
    <w:multiLevelType w:val="hybridMultilevel"/>
    <w:tmpl w:val="50C049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114596"/>
    <w:multiLevelType w:val="hybridMultilevel"/>
    <w:tmpl w:val="C804CE14"/>
    <w:lvl w:ilvl="0" w:tplc="597447E6">
      <w:start w:val="1"/>
      <w:numFmt w:val="decimal"/>
      <w:lvlText w:val="%1．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83"/>
    <w:rsid w:val="00004C4B"/>
    <w:rsid w:val="00044850"/>
    <w:rsid w:val="000779F1"/>
    <w:rsid w:val="000D5CDF"/>
    <w:rsid w:val="000E469E"/>
    <w:rsid w:val="0011446C"/>
    <w:rsid w:val="001169EE"/>
    <w:rsid w:val="00117817"/>
    <w:rsid w:val="00157A14"/>
    <w:rsid w:val="00161BBC"/>
    <w:rsid w:val="001716E8"/>
    <w:rsid w:val="00177934"/>
    <w:rsid w:val="001956CC"/>
    <w:rsid w:val="00195A3C"/>
    <w:rsid w:val="001A24B8"/>
    <w:rsid w:val="001B1F80"/>
    <w:rsid w:val="001B635D"/>
    <w:rsid w:val="001C6EB4"/>
    <w:rsid w:val="001D27AB"/>
    <w:rsid w:val="001E038D"/>
    <w:rsid w:val="001F54D4"/>
    <w:rsid w:val="00216DCF"/>
    <w:rsid w:val="00226455"/>
    <w:rsid w:val="00252E1C"/>
    <w:rsid w:val="00266A1D"/>
    <w:rsid w:val="00275DD3"/>
    <w:rsid w:val="002B5699"/>
    <w:rsid w:val="002C5F85"/>
    <w:rsid w:val="002D3958"/>
    <w:rsid w:val="002D6903"/>
    <w:rsid w:val="002D7B72"/>
    <w:rsid w:val="00305FF6"/>
    <w:rsid w:val="00313688"/>
    <w:rsid w:val="003244E9"/>
    <w:rsid w:val="00342EA3"/>
    <w:rsid w:val="00345616"/>
    <w:rsid w:val="00362A30"/>
    <w:rsid w:val="00387625"/>
    <w:rsid w:val="00396B73"/>
    <w:rsid w:val="003C5DA8"/>
    <w:rsid w:val="003E075C"/>
    <w:rsid w:val="003F2F7D"/>
    <w:rsid w:val="00405ABC"/>
    <w:rsid w:val="0040648E"/>
    <w:rsid w:val="004266D3"/>
    <w:rsid w:val="00454F01"/>
    <w:rsid w:val="00461B9F"/>
    <w:rsid w:val="004730EC"/>
    <w:rsid w:val="00497028"/>
    <w:rsid w:val="004B1043"/>
    <w:rsid w:val="004E5BEF"/>
    <w:rsid w:val="004F708E"/>
    <w:rsid w:val="00510679"/>
    <w:rsid w:val="0054202F"/>
    <w:rsid w:val="00551F8B"/>
    <w:rsid w:val="00554BCF"/>
    <w:rsid w:val="005655D7"/>
    <w:rsid w:val="005670E3"/>
    <w:rsid w:val="005A79EF"/>
    <w:rsid w:val="005B46D4"/>
    <w:rsid w:val="005C46FD"/>
    <w:rsid w:val="005C7231"/>
    <w:rsid w:val="005F12C8"/>
    <w:rsid w:val="005F49DC"/>
    <w:rsid w:val="0061638D"/>
    <w:rsid w:val="00626ECC"/>
    <w:rsid w:val="006403AE"/>
    <w:rsid w:val="006505BA"/>
    <w:rsid w:val="006579C2"/>
    <w:rsid w:val="0067651D"/>
    <w:rsid w:val="0068379A"/>
    <w:rsid w:val="006A5078"/>
    <w:rsid w:val="006D2183"/>
    <w:rsid w:val="006E4960"/>
    <w:rsid w:val="00780E07"/>
    <w:rsid w:val="00781653"/>
    <w:rsid w:val="00793DE2"/>
    <w:rsid w:val="007E55EF"/>
    <w:rsid w:val="007F5A55"/>
    <w:rsid w:val="007F5CFD"/>
    <w:rsid w:val="008008D5"/>
    <w:rsid w:val="00800CEB"/>
    <w:rsid w:val="00814AC3"/>
    <w:rsid w:val="00824F1B"/>
    <w:rsid w:val="00896B41"/>
    <w:rsid w:val="008A19BE"/>
    <w:rsid w:val="008F253A"/>
    <w:rsid w:val="008F385D"/>
    <w:rsid w:val="00903879"/>
    <w:rsid w:val="0091305F"/>
    <w:rsid w:val="00931D59"/>
    <w:rsid w:val="00942068"/>
    <w:rsid w:val="00943387"/>
    <w:rsid w:val="0097178F"/>
    <w:rsid w:val="009C4CFF"/>
    <w:rsid w:val="009C7C57"/>
    <w:rsid w:val="00A074FA"/>
    <w:rsid w:val="00A13284"/>
    <w:rsid w:val="00A54554"/>
    <w:rsid w:val="00A55372"/>
    <w:rsid w:val="00A56A31"/>
    <w:rsid w:val="00A83A6B"/>
    <w:rsid w:val="00A84426"/>
    <w:rsid w:val="00AA33AA"/>
    <w:rsid w:val="00AB5BCF"/>
    <w:rsid w:val="00AC0AF7"/>
    <w:rsid w:val="00AC644E"/>
    <w:rsid w:val="00AE204C"/>
    <w:rsid w:val="00B40E00"/>
    <w:rsid w:val="00B40E4D"/>
    <w:rsid w:val="00B43F79"/>
    <w:rsid w:val="00B6170D"/>
    <w:rsid w:val="00B771DF"/>
    <w:rsid w:val="00B775A4"/>
    <w:rsid w:val="00B827F8"/>
    <w:rsid w:val="00B83109"/>
    <w:rsid w:val="00B8530B"/>
    <w:rsid w:val="00BB05E1"/>
    <w:rsid w:val="00BB646F"/>
    <w:rsid w:val="00BC1AF6"/>
    <w:rsid w:val="00BC68DC"/>
    <w:rsid w:val="00BD2709"/>
    <w:rsid w:val="00C25F6F"/>
    <w:rsid w:val="00C32BB8"/>
    <w:rsid w:val="00C37798"/>
    <w:rsid w:val="00C425C0"/>
    <w:rsid w:val="00C45FFD"/>
    <w:rsid w:val="00C76E08"/>
    <w:rsid w:val="00CB530B"/>
    <w:rsid w:val="00CB5955"/>
    <w:rsid w:val="00CC23AC"/>
    <w:rsid w:val="00CC26F7"/>
    <w:rsid w:val="00CF2109"/>
    <w:rsid w:val="00D21602"/>
    <w:rsid w:val="00D25CE9"/>
    <w:rsid w:val="00D3491E"/>
    <w:rsid w:val="00D4094B"/>
    <w:rsid w:val="00D433DF"/>
    <w:rsid w:val="00DA7B2C"/>
    <w:rsid w:val="00DB3416"/>
    <w:rsid w:val="00DB48C6"/>
    <w:rsid w:val="00DB5D8C"/>
    <w:rsid w:val="00DC56B9"/>
    <w:rsid w:val="00DC5983"/>
    <w:rsid w:val="00E15C6C"/>
    <w:rsid w:val="00E724A1"/>
    <w:rsid w:val="00EB444F"/>
    <w:rsid w:val="00ED16AB"/>
    <w:rsid w:val="00ED3405"/>
    <w:rsid w:val="00F545F9"/>
    <w:rsid w:val="00F90E8E"/>
    <w:rsid w:val="00F93838"/>
    <w:rsid w:val="00FA4176"/>
    <w:rsid w:val="00FA4657"/>
    <w:rsid w:val="00FC3280"/>
    <w:rsid w:val="00FC5B32"/>
    <w:rsid w:val="00FE1825"/>
    <w:rsid w:val="00FE1D8C"/>
    <w:rsid w:val="00FF156A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CB7F5-E7C8-486E-99C6-26009E3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D6903"/>
    <w:pPr>
      <w:ind w:firstLineChars="200" w:firstLine="420"/>
    </w:pPr>
  </w:style>
  <w:style w:type="table" w:styleId="a6">
    <w:name w:val="Table Grid"/>
    <w:basedOn w:val="a1"/>
    <w:uiPriority w:val="59"/>
    <w:rsid w:val="0055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DB5D8C"/>
    <w:rPr>
      <w:color w:val="0000FF"/>
      <w:u w:val="single"/>
    </w:rPr>
  </w:style>
  <w:style w:type="table" w:customStyle="1" w:styleId="1">
    <w:name w:val="网格型1"/>
    <w:basedOn w:val="a1"/>
    <w:next w:val="a6"/>
    <w:uiPriority w:val="59"/>
    <w:qFormat/>
    <w:rsid w:val="002264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8530B"/>
    <w:rPr>
      <w:color w:val="800080"/>
      <w:u w:val="single"/>
    </w:rPr>
  </w:style>
  <w:style w:type="paragraph" w:styleId="a9">
    <w:name w:val="annotation text"/>
    <w:basedOn w:val="a"/>
    <w:link w:val="Char1"/>
    <w:uiPriority w:val="99"/>
    <w:semiHidden/>
    <w:unhideWhenUsed/>
    <w:rsid w:val="00B8530B"/>
    <w:pPr>
      <w:widowControl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文字 Char"/>
    <w:basedOn w:val="a0"/>
    <w:link w:val="a9"/>
    <w:uiPriority w:val="99"/>
    <w:semiHidden/>
    <w:rsid w:val="00B8530B"/>
  </w:style>
  <w:style w:type="paragraph" w:styleId="aa">
    <w:name w:val="Balloon Text"/>
    <w:basedOn w:val="a"/>
    <w:link w:val="Char2"/>
    <w:uiPriority w:val="99"/>
    <w:semiHidden/>
    <w:unhideWhenUsed/>
    <w:rsid w:val="00B8530B"/>
    <w:pPr>
      <w:widowControl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8530B"/>
    <w:rPr>
      <w:sz w:val="18"/>
      <w:szCs w:val="18"/>
    </w:rPr>
  </w:style>
  <w:style w:type="paragraph" w:customStyle="1" w:styleId="font5">
    <w:name w:val="font5"/>
    <w:basedOn w:val="a"/>
    <w:rsid w:val="00B853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B853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B853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18"/>
      <w:szCs w:val="18"/>
    </w:rPr>
  </w:style>
  <w:style w:type="paragraph" w:customStyle="1" w:styleId="font8">
    <w:name w:val="font8"/>
    <w:basedOn w:val="a"/>
    <w:rsid w:val="00B8530B"/>
    <w:pPr>
      <w:widowControl/>
      <w:spacing w:before="100" w:beforeAutospacing="1" w:after="100" w:afterAutospacing="1"/>
      <w:jc w:val="left"/>
    </w:pPr>
    <w:rPr>
      <w:color w:val="FF0000"/>
      <w:kern w:val="0"/>
      <w:sz w:val="14"/>
      <w:szCs w:val="14"/>
    </w:rPr>
  </w:style>
  <w:style w:type="paragraph" w:customStyle="1" w:styleId="font9">
    <w:name w:val="font9"/>
    <w:basedOn w:val="a"/>
    <w:rsid w:val="00B8530B"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rsid w:val="00B8530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font11">
    <w:name w:val="font11"/>
    <w:basedOn w:val="a"/>
    <w:rsid w:val="00B8530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3">
    <w:name w:val="xl63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微软雅黑" w:eastAsia="微软雅黑" w:hAnsi="微软雅黑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B8530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微软雅黑" w:eastAsia="微软雅黑" w:hAnsi="微软雅黑" w:cs="宋体"/>
      <w:color w:val="FF0000"/>
      <w:kern w:val="0"/>
      <w:sz w:val="18"/>
      <w:szCs w:val="18"/>
    </w:rPr>
  </w:style>
  <w:style w:type="paragraph" w:customStyle="1" w:styleId="xl68">
    <w:name w:val="xl68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18"/>
      <w:szCs w:val="18"/>
    </w:rPr>
  </w:style>
  <w:style w:type="paragraph" w:customStyle="1" w:styleId="xl70">
    <w:name w:val="xl70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1"/>
    </w:rPr>
  </w:style>
  <w:style w:type="paragraph" w:customStyle="1" w:styleId="xl71">
    <w:name w:val="xl71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75">
    <w:name w:val="xl75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76">
    <w:name w:val="xl76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18"/>
      <w:szCs w:val="18"/>
    </w:rPr>
  </w:style>
  <w:style w:type="paragraph" w:customStyle="1" w:styleId="xl78">
    <w:name w:val="xl78"/>
    <w:basedOn w:val="a"/>
    <w:rsid w:val="00B85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b">
    <w:name w:val="正文 A"/>
    <w:rsid w:val="00B8530B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c">
    <w:name w:val="默认"/>
    <w:rsid w:val="00B8530B"/>
    <w:rPr>
      <w:rFonts w:ascii="Helvetica Neue" w:eastAsia="Helvetica Neue" w:hAnsi="Helvetica Neue" w:cs="Helvetica Neue"/>
      <w:color w:val="000000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B8530B"/>
    <w:rPr>
      <w:sz w:val="21"/>
      <w:szCs w:val="21"/>
    </w:rPr>
  </w:style>
  <w:style w:type="table" w:customStyle="1" w:styleId="TableNormal">
    <w:name w:val="Table Normal"/>
    <w:rsid w:val="00B8530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xl@aai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i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ijk@aai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2248</Words>
  <Characters>12820</Characters>
  <Application>Microsoft Office Word</Application>
  <DocSecurity>0</DocSecurity>
  <Lines>106</Lines>
  <Paragraphs>30</Paragraphs>
  <ScaleCrop>false</ScaleCrop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顾晓磊</dc:creator>
  <cp:keywords/>
  <dc:description/>
  <cp:lastModifiedBy>顾晓磊</cp:lastModifiedBy>
  <cp:revision>5</cp:revision>
  <cp:lastPrinted>2011-08-05T02:26:00Z</cp:lastPrinted>
  <dcterms:created xsi:type="dcterms:W3CDTF">2019-09-11T05:31:00Z</dcterms:created>
  <dcterms:modified xsi:type="dcterms:W3CDTF">2019-09-16T01:40:00Z</dcterms:modified>
</cp:coreProperties>
</file>