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ind w:firstLine="57"/>
        <w:jc w:val="center"/>
        <w:rPr>
          <w:rFonts w:hint="eastAsia" w:ascii="黑体" w:hAnsi="黑体" w:eastAsia="黑体" w:cs="黑体"/>
          <w:b/>
          <w:bCs/>
          <w:sz w:val="32"/>
          <w:szCs w:val="32"/>
        </w:rPr>
      </w:pPr>
      <w:r>
        <w:rPr>
          <w:rFonts w:hint="eastAsia" w:ascii="黑体" w:hAnsi="黑体" w:eastAsia="黑体" w:cs="黑体"/>
          <w:b/>
          <w:bCs/>
          <w:sz w:val="32"/>
          <w:szCs w:val="32"/>
        </w:rPr>
        <w:t>太平洋安信农业保险股份有限公司</w:t>
      </w:r>
    </w:p>
    <w:p>
      <w:pPr>
        <w:spacing w:line="700" w:lineRule="exact"/>
        <w:ind w:firstLine="57"/>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意健险主附险拆分系统改造项目</w:t>
      </w:r>
    </w:p>
    <w:p>
      <w:pPr>
        <w:spacing w:line="700" w:lineRule="exact"/>
        <w:ind w:firstLine="57"/>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公开</w:t>
      </w:r>
      <w:r>
        <w:rPr>
          <w:rFonts w:hint="eastAsia" w:ascii="黑体" w:hAnsi="黑体" w:eastAsia="黑体" w:cs="黑体"/>
          <w:b/>
          <w:bCs/>
          <w:sz w:val="32"/>
          <w:szCs w:val="32"/>
        </w:rPr>
        <w:t>竞价公告</w:t>
      </w:r>
    </w:p>
    <w:p>
      <w:pPr>
        <w:spacing w:line="360" w:lineRule="auto"/>
        <w:ind w:firstLine="480" w:firstLineChars="200"/>
        <w:rPr>
          <w:rFonts w:hint="eastAsia" w:ascii="仿宋" w:hAnsi="仿宋" w:eastAsia="仿宋" w:cs="Times New Roman"/>
          <w:sz w:val="24"/>
          <w:szCs w:val="28"/>
          <w:lang w:val="en-US" w:eastAsia="zh-CN"/>
        </w:rPr>
      </w:pPr>
      <w:r>
        <w:rPr>
          <w:rFonts w:hint="eastAsia" w:ascii="仿宋" w:hAnsi="仿宋" w:eastAsia="仿宋" w:cs="Times New Roman"/>
          <w:sz w:val="24"/>
          <w:szCs w:val="28"/>
          <w:lang w:val="en-US" w:eastAsia="zh-CN"/>
        </w:rPr>
        <w:t>太平洋安信农业保险股份有限公司（以下简称“太安农险”）现邀请合格的供应商参与本项目的采购竞价，太安农险偿付能力符合监管规定,具体可在太安农险官网查询</w:t>
      </w:r>
      <w:r>
        <w:rPr>
          <w:rFonts w:hint="eastAsia" w:ascii="仿宋" w:hAnsi="仿宋" w:eastAsia="仿宋" w:cs="Times New Roman"/>
          <w:sz w:val="24"/>
          <w:szCs w:val="28"/>
          <w:lang w:val="en-US" w:eastAsia="zh-CN"/>
        </w:rPr>
        <w:fldChar w:fldCharType="begin"/>
      </w:r>
      <w:r>
        <w:rPr>
          <w:rFonts w:hint="eastAsia" w:ascii="仿宋" w:hAnsi="仿宋" w:eastAsia="仿宋" w:cs="Times New Roman"/>
          <w:sz w:val="24"/>
          <w:szCs w:val="28"/>
          <w:lang w:val="en-US" w:eastAsia="zh-CN"/>
        </w:rPr>
        <w:instrText xml:space="preserve"> HYPERLINK "http://www.aaic.com.cn/" </w:instrText>
      </w:r>
      <w:r>
        <w:rPr>
          <w:rFonts w:hint="eastAsia" w:ascii="仿宋" w:hAnsi="仿宋" w:eastAsia="仿宋" w:cs="Times New Roman"/>
          <w:sz w:val="24"/>
          <w:szCs w:val="28"/>
          <w:lang w:val="en-US" w:eastAsia="zh-CN"/>
        </w:rPr>
        <w:fldChar w:fldCharType="separate"/>
      </w:r>
      <w:r>
        <w:rPr>
          <w:rFonts w:hint="eastAsia" w:ascii="仿宋" w:hAnsi="仿宋" w:eastAsia="仿宋" w:cs="Times New Roman"/>
          <w:sz w:val="24"/>
          <w:szCs w:val="28"/>
          <w:lang w:val="en-US" w:eastAsia="zh-CN"/>
        </w:rPr>
        <w:t>www.aaic.com.cn</w:t>
      </w:r>
      <w:r>
        <w:rPr>
          <w:rFonts w:hint="eastAsia" w:ascii="仿宋" w:hAnsi="仿宋" w:eastAsia="仿宋" w:cs="Times New Roman"/>
          <w:sz w:val="24"/>
          <w:szCs w:val="28"/>
          <w:lang w:val="en-US" w:eastAsia="zh-CN"/>
        </w:rPr>
        <w:fldChar w:fldCharType="end"/>
      </w:r>
      <w:r>
        <w:rPr>
          <w:rFonts w:hint="eastAsia" w:ascii="仿宋" w:hAnsi="仿宋" w:eastAsia="仿宋" w:cs="Times New Roman"/>
          <w:sz w:val="24"/>
          <w:szCs w:val="28"/>
          <w:lang w:val="en-US" w:eastAsia="zh-CN"/>
        </w:rPr>
        <w:t>，太安农险将择优选定中选人，欢迎符合资格要求的供应商踊跃参与，现将有关事项公告如下。</w:t>
      </w:r>
    </w:p>
    <w:p>
      <w:pPr>
        <w:numPr>
          <w:ilvl w:val="0"/>
          <w:numId w:val="2"/>
        </w:numPr>
        <w:spacing w:line="360" w:lineRule="auto"/>
        <w:ind w:firstLine="472" w:firstLineChars="196"/>
        <w:outlineLvl w:val="0"/>
        <w:rPr>
          <w:rFonts w:hint="eastAsia" w:ascii="黑体" w:hAnsi="黑体" w:eastAsia="黑体" w:cs="黑体"/>
          <w:b/>
          <w:sz w:val="24"/>
        </w:rPr>
      </w:pPr>
      <w:r>
        <w:rPr>
          <w:rFonts w:hint="eastAsia" w:ascii="黑体" w:hAnsi="黑体" w:eastAsia="黑体" w:cs="黑体"/>
          <w:b/>
          <w:sz w:val="24"/>
          <w:lang w:val="en-US" w:eastAsia="zh-CN"/>
        </w:rPr>
        <w:t>采购</w:t>
      </w:r>
      <w:r>
        <w:rPr>
          <w:rFonts w:hint="eastAsia" w:ascii="黑体" w:hAnsi="黑体" w:eastAsia="黑体" w:cs="黑体"/>
          <w:b/>
          <w:sz w:val="24"/>
        </w:rPr>
        <w:t>单位：</w:t>
      </w:r>
      <w:r>
        <w:rPr>
          <w:rFonts w:hint="eastAsia" w:ascii="仿宋" w:hAnsi="仿宋" w:eastAsia="仿宋" w:cs="Times New Roman"/>
          <w:sz w:val="24"/>
          <w:szCs w:val="28"/>
          <w:lang w:val="en-US" w:eastAsia="zh-CN"/>
        </w:rPr>
        <w:t>太平洋安信农业保险股份有限公司</w:t>
      </w:r>
    </w:p>
    <w:p>
      <w:pPr>
        <w:numPr>
          <w:ilvl w:val="0"/>
          <w:numId w:val="2"/>
        </w:numPr>
        <w:spacing w:line="360" w:lineRule="auto"/>
        <w:ind w:firstLine="472" w:firstLineChars="196"/>
        <w:outlineLvl w:val="0"/>
        <w:rPr>
          <w:rFonts w:hint="eastAsia" w:ascii="黑体" w:hAnsi="黑体" w:eastAsia="黑体" w:cs="黑体"/>
          <w:b/>
          <w:sz w:val="24"/>
        </w:rPr>
      </w:pPr>
      <w:r>
        <w:rPr>
          <w:rFonts w:hint="eastAsia" w:ascii="黑体" w:hAnsi="黑体" w:eastAsia="黑体" w:cs="黑体"/>
          <w:b/>
          <w:sz w:val="24"/>
          <w:lang w:val="en-US" w:eastAsia="zh-CN"/>
        </w:rPr>
        <w:t>单位</w:t>
      </w:r>
      <w:r>
        <w:rPr>
          <w:rFonts w:hint="eastAsia" w:ascii="黑体" w:hAnsi="黑体" w:eastAsia="黑体" w:cs="黑体"/>
          <w:b/>
          <w:sz w:val="24"/>
        </w:rPr>
        <w:t>地址：</w:t>
      </w:r>
      <w:r>
        <w:rPr>
          <w:rFonts w:hint="eastAsia" w:ascii="仿宋" w:hAnsi="仿宋" w:eastAsia="仿宋" w:cs="Times New Roman"/>
          <w:sz w:val="24"/>
          <w:szCs w:val="28"/>
          <w:lang w:val="en-US" w:eastAsia="zh-CN"/>
        </w:rPr>
        <w:t>上海市静安区共和新路3651号农保大厦</w:t>
      </w:r>
    </w:p>
    <w:p>
      <w:pPr>
        <w:numPr>
          <w:ilvl w:val="0"/>
          <w:numId w:val="2"/>
        </w:numPr>
        <w:spacing w:line="360" w:lineRule="auto"/>
        <w:ind w:firstLine="472" w:firstLineChars="196"/>
        <w:outlineLvl w:val="0"/>
        <w:rPr>
          <w:rFonts w:hint="default" w:ascii="黑体" w:hAnsi="黑体" w:eastAsia="黑体" w:cs="黑体"/>
          <w:b/>
          <w:sz w:val="24"/>
          <w:lang w:val="en-US" w:eastAsia="zh-CN"/>
        </w:rPr>
      </w:pPr>
      <w:r>
        <w:rPr>
          <w:rFonts w:hint="eastAsia" w:ascii="黑体" w:hAnsi="黑体" w:eastAsia="黑体" w:cs="黑体"/>
          <w:b/>
          <w:sz w:val="24"/>
          <w:lang w:val="en-US" w:eastAsia="zh-CN"/>
        </w:rPr>
        <w:t>采购项目名称：</w:t>
      </w:r>
      <w:r>
        <w:rPr>
          <w:rFonts w:hint="eastAsia" w:ascii="仿宋" w:hAnsi="仿宋" w:eastAsia="仿宋" w:cs="Times New Roman"/>
          <w:sz w:val="24"/>
          <w:szCs w:val="28"/>
          <w:lang w:val="en-US" w:eastAsia="zh-CN"/>
        </w:rPr>
        <w:t>意健险主附险拆分系统改造项目</w:t>
      </w:r>
    </w:p>
    <w:p>
      <w:pPr>
        <w:numPr>
          <w:ilvl w:val="0"/>
          <w:numId w:val="2"/>
        </w:numPr>
        <w:spacing w:line="360" w:lineRule="auto"/>
        <w:ind w:firstLine="472" w:firstLineChars="196"/>
        <w:outlineLvl w:val="0"/>
        <w:rPr>
          <w:rFonts w:hint="default" w:ascii="黑体" w:hAnsi="黑体" w:eastAsia="黑体" w:cs="黑体"/>
          <w:b/>
          <w:sz w:val="24"/>
          <w:lang w:val="en-US" w:eastAsia="zh-CN"/>
        </w:rPr>
      </w:pPr>
      <w:r>
        <w:rPr>
          <w:rFonts w:hint="eastAsia" w:ascii="黑体" w:hAnsi="黑体" w:eastAsia="黑体" w:cs="黑体"/>
          <w:b/>
          <w:sz w:val="24"/>
          <w:lang w:val="en-US" w:eastAsia="zh-CN"/>
        </w:rPr>
        <w:t>采购预算（含税最高限价）：</w:t>
      </w:r>
      <w:r>
        <w:rPr>
          <w:rFonts w:hint="eastAsia" w:ascii="仿宋" w:hAnsi="仿宋" w:eastAsia="仿宋" w:cs="Times New Roman"/>
          <w:sz w:val="24"/>
          <w:szCs w:val="28"/>
          <w:lang w:val="en-US" w:eastAsia="zh-CN"/>
        </w:rPr>
        <w:t>人民币玖拾捌万元整（¥980,000.00）。供应商报价超过最高限价的，其报价无效。</w:t>
      </w:r>
    </w:p>
    <w:p>
      <w:pPr>
        <w:numPr>
          <w:ilvl w:val="-1"/>
          <w:numId w:val="0"/>
        </w:numPr>
        <w:spacing w:line="360" w:lineRule="auto"/>
        <w:ind w:firstLine="0" w:firstLineChars="0"/>
        <w:outlineLvl w:val="0"/>
        <w:rPr>
          <w:rFonts w:hint="default" w:ascii="黑体" w:hAnsi="黑体" w:eastAsia="黑体" w:cs="黑体"/>
          <w:b/>
          <w:sz w:val="24"/>
          <w:lang w:val="en-US" w:eastAsia="zh-CN"/>
        </w:rPr>
      </w:pPr>
      <w:r>
        <w:rPr>
          <w:rFonts w:hint="eastAsia" w:ascii="黑体" w:hAnsi="黑体" w:eastAsia="黑体" w:cs="黑体"/>
          <w:b/>
          <w:sz w:val="24"/>
          <w:lang w:val="en-US" w:eastAsia="zh-CN"/>
        </w:rPr>
        <w:t xml:space="preserve">   </w:t>
      </w:r>
      <w:r>
        <w:rPr>
          <w:rFonts w:hint="eastAsia" w:ascii="仿宋" w:hAnsi="仿宋" w:eastAsia="仿宋" w:cs="Times New Roman"/>
          <w:b w:val="0"/>
          <w:sz w:val="24"/>
          <w:szCs w:val="28"/>
          <w:lang w:val="en-US" w:eastAsia="zh-CN"/>
        </w:rPr>
        <w:t xml:space="preserve"> </w:t>
      </w:r>
      <w:r>
        <w:rPr>
          <w:rFonts w:hint="eastAsia" w:ascii="仿宋" w:hAnsi="仿宋" w:eastAsia="仿宋" w:cs="Times New Roman"/>
          <w:sz w:val="24"/>
          <w:szCs w:val="28"/>
        </w:rPr>
        <w:t>采购方式：公开竞价。本项目不属于依法必须招标的工程建设项目，采购人参照《中华人民共和国招标投标法》及采购人采购管理制度组织采购。</w:t>
      </w:r>
    </w:p>
    <w:p>
      <w:pPr>
        <w:numPr>
          <w:ilvl w:val="0"/>
          <w:numId w:val="2"/>
        </w:numPr>
        <w:spacing w:line="360" w:lineRule="auto"/>
        <w:ind w:firstLine="472" w:firstLineChars="196"/>
        <w:outlineLvl w:val="0"/>
        <w:rPr>
          <w:rFonts w:ascii="黑体" w:hAnsi="黑体" w:eastAsia="黑体" w:cs="黑体"/>
          <w:b/>
          <w:sz w:val="24"/>
        </w:rPr>
      </w:pPr>
      <w:r>
        <w:rPr>
          <w:rFonts w:hint="eastAsia" w:ascii="黑体" w:hAnsi="黑体" w:eastAsia="黑体" w:cs="黑体"/>
          <w:b/>
          <w:sz w:val="24"/>
        </w:rPr>
        <w:t>采购需求</w:t>
      </w:r>
    </w:p>
    <w:p>
      <w:pPr>
        <w:numPr>
          <w:ilvl w:val="0"/>
          <w:numId w:val="3"/>
        </w:numPr>
        <w:spacing w:line="360" w:lineRule="auto"/>
        <w:ind w:firstLine="482"/>
        <w:outlineLvl w:val="0"/>
        <w:rPr>
          <w:rFonts w:ascii="黑体" w:hAnsi="黑体" w:eastAsia="黑体" w:cs="黑体"/>
          <w:b/>
          <w:sz w:val="24"/>
        </w:rPr>
      </w:pPr>
      <w:r>
        <w:rPr>
          <w:rFonts w:hint="eastAsia" w:ascii="黑体" w:hAnsi="黑体" w:eastAsia="黑体" w:cs="黑体"/>
          <w:b/>
          <w:sz w:val="24"/>
        </w:rPr>
        <w:t>项目目标</w:t>
      </w:r>
    </w:p>
    <w:p>
      <w:pPr>
        <w:spacing w:line="360" w:lineRule="auto"/>
        <w:ind w:firstLine="480" w:firstLineChars="200"/>
        <w:rPr>
          <w:rFonts w:hint="default" w:ascii="仿宋" w:hAnsi="仿宋" w:eastAsia="仿宋" w:cs="Times New Roman"/>
          <w:sz w:val="24"/>
          <w:szCs w:val="28"/>
          <w:highlight w:val="yellow"/>
          <w:lang w:val="en-US" w:eastAsia="zh-CN"/>
        </w:rPr>
      </w:pPr>
      <w:r>
        <w:rPr>
          <w:rFonts w:hint="eastAsia" w:ascii="仿宋" w:hAnsi="仿宋" w:eastAsia="仿宋" w:cs="Times New Roman"/>
          <w:sz w:val="24"/>
          <w:szCs w:val="28"/>
          <w:highlight w:val="none"/>
          <w:lang w:val="en-US" w:eastAsia="zh-CN"/>
        </w:rPr>
        <w:t>于2027年9月29日前，完成太安农险核心业务系统的意健险主附险拆分改造并成功上线。改造后，实现意健险业务解耦与独立管理，意健险中意外险和健康险主附加险的部分逻辑分离与数据隔离，实现两者独立收付，准备金评估，财务核算，相关数据统计报送。确保拆分后的数据在承保、理赔、收付、准备金、财务、报送以及I17等业务模块中全流程贯通。系统的处理能力，各模块接口响应需能支撑意健险拆分后高频、碎片化的业务特征。确保存量保单数据平滑过渡，需求上线前后业务不中断。</w:t>
      </w:r>
    </w:p>
    <w:p>
      <w:pPr>
        <w:numPr>
          <w:ilvl w:val="0"/>
          <w:numId w:val="3"/>
        </w:numPr>
        <w:spacing w:line="360" w:lineRule="auto"/>
        <w:outlineLvl w:val="0"/>
        <w:rPr>
          <w:rFonts w:ascii="黑体" w:hAnsi="黑体" w:eastAsia="黑体" w:cs="黑体"/>
          <w:b/>
          <w:sz w:val="24"/>
        </w:rPr>
      </w:pPr>
      <w:r>
        <w:rPr>
          <w:rFonts w:hint="eastAsia" w:ascii="黑体" w:hAnsi="黑体" w:eastAsia="黑体" w:cs="黑体"/>
          <w:b/>
          <w:sz w:val="24"/>
          <w:lang w:val="en-US" w:eastAsia="zh-CN"/>
        </w:rPr>
        <w:t>项目范围</w:t>
      </w:r>
    </w:p>
    <w:p>
      <w:pPr>
        <w:numPr>
          <w:ilvl w:val="0"/>
          <w:numId w:val="4"/>
        </w:numPr>
        <w:spacing w:line="360" w:lineRule="auto"/>
        <w:ind w:firstLine="420" w:firstLineChars="0"/>
        <w:rPr>
          <w:rFonts w:hint="eastAsia"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本次改造范围涵盖太安农险保险核心业务系统及相关报表系统，包括承保、理赔、收付、财务、准备金、I17、费用分摊、统信、EAST等系统。具体改造范围如下：</w:t>
      </w:r>
    </w:p>
    <w:p>
      <w:pPr>
        <w:numPr>
          <w:ilvl w:val="0"/>
          <w:numId w:val="0"/>
        </w:numPr>
        <w:spacing w:line="360" w:lineRule="auto"/>
        <w:ind w:leftChars="200"/>
        <w:rPr>
          <w:rFonts w:hint="eastAsia"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承保端：对于意健险保单中意外、健康险的保费和补贴数据，从投保到批改均按照主附险拆分计算，承保数据按拆分后维度送收付。</w:t>
      </w:r>
    </w:p>
    <w:p>
      <w:pPr>
        <w:numPr>
          <w:ilvl w:val="0"/>
          <w:numId w:val="0"/>
        </w:numPr>
        <w:spacing w:line="360" w:lineRule="auto"/>
        <w:ind w:leftChars="200"/>
        <w:rPr>
          <w:rFonts w:hint="eastAsia"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理赔端：意健险赔付细化到条款，未决、已决数据均拆分至主附险，理赔数按拆分后维度送收付。</w:t>
      </w:r>
    </w:p>
    <w:p>
      <w:pPr>
        <w:numPr>
          <w:ilvl w:val="0"/>
          <w:numId w:val="0"/>
        </w:numPr>
        <w:spacing w:line="360" w:lineRule="auto"/>
        <w:ind w:leftChars="200"/>
        <w:rPr>
          <w:rFonts w:hint="eastAsia"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收付费端：接收承保和理赔意健险已拆分数据，按新的险种映射，完成实收、实付、手续费、出单费、公估费、进项发票，销项发票等功能中业务数据维度拆分的适配改造，以及历史数据切换方案的处理。</w:t>
      </w:r>
    </w:p>
    <w:p>
      <w:pPr>
        <w:numPr>
          <w:ilvl w:val="0"/>
          <w:numId w:val="0"/>
        </w:numPr>
        <w:spacing w:line="360" w:lineRule="auto"/>
        <w:ind w:leftChars="200"/>
        <w:rPr>
          <w:rFonts w:hint="eastAsia"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财务端：新增险种专项，凭证、账簿生成等功能中涉及意健险的业务数据均需要拆分至子险、相关提数和报表取数逻辑均适配调整。</w:t>
      </w:r>
    </w:p>
    <w:p>
      <w:pPr>
        <w:numPr>
          <w:ilvl w:val="0"/>
          <w:numId w:val="0"/>
        </w:numPr>
        <w:spacing w:line="360" w:lineRule="auto"/>
        <w:ind w:leftChars="200"/>
        <w:rPr>
          <w:rFonts w:hint="eastAsia"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精算端：准备金按意外、健康拆分意健险后计算保费，同步调整相关口径统计，按新险种映射入账，IBNR按新险种映射分摊。</w:t>
      </w:r>
    </w:p>
    <w:p>
      <w:pPr>
        <w:numPr>
          <w:ilvl w:val="0"/>
          <w:numId w:val="0"/>
        </w:numPr>
        <w:spacing w:line="360" w:lineRule="auto"/>
        <w:ind w:leftChars="200"/>
        <w:rPr>
          <w:rFonts w:hint="eastAsia"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I17：基于新的险种映射，I17涉及保单的基础数据表均按险种维度拆分。</w:t>
      </w:r>
    </w:p>
    <w:p>
      <w:pPr>
        <w:numPr>
          <w:ilvl w:val="0"/>
          <w:numId w:val="0"/>
        </w:numPr>
        <w:spacing w:line="360" w:lineRule="auto"/>
        <w:ind w:leftChars="200"/>
        <w:rPr>
          <w:rFonts w:hint="default"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费用分摊：新增险种专项，涉及意外、健康险的数据按照拆分后的结果提取和分摊。</w:t>
      </w:r>
    </w:p>
    <w:p>
      <w:pPr>
        <w:numPr>
          <w:ilvl w:val="0"/>
          <w:numId w:val="0"/>
        </w:numPr>
        <w:spacing w:line="360" w:lineRule="auto"/>
        <w:ind w:leftChars="200"/>
        <w:rPr>
          <w:rFonts w:hint="eastAsia"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统信：统信报送中涉及到意健险的相关指标提取逻辑均按意外险和健康险拆分后的险种映射完成适配改造。</w:t>
      </w:r>
    </w:p>
    <w:p>
      <w:pPr>
        <w:numPr>
          <w:ilvl w:val="0"/>
          <w:numId w:val="0"/>
        </w:numPr>
        <w:spacing w:line="360" w:lineRule="auto"/>
        <w:ind w:leftChars="200"/>
        <w:rPr>
          <w:rFonts w:hint="default"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EAST：针对财务端报送中涉及意健险数据的业务表将健康险的数据从意外险内拆分出来。</w:t>
      </w:r>
    </w:p>
    <w:p>
      <w:pPr>
        <w:spacing w:line="360" w:lineRule="auto"/>
        <w:ind w:firstLine="480" w:firstLineChars="200"/>
        <w:rPr>
          <w:rFonts w:hint="eastAsia" w:ascii="仿宋" w:hAnsi="仿宋" w:eastAsia="仿宋" w:cs="Times New Roman"/>
          <w:sz w:val="24"/>
          <w:szCs w:val="28"/>
          <w:lang w:val="en-US" w:eastAsia="zh-CN"/>
        </w:rPr>
      </w:pPr>
      <w:r>
        <w:rPr>
          <w:rFonts w:hint="eastAsia" w:ascii="仿宋" w:hAnsi="仿宋" w:eastAsia="仿宋" w:cs="Times New Roman"/>
          <w:sz w:val="24"/>
          <w:szCs w:val="28"/>
          <w:lang w:val="en-US" w:eastAsia="zh-CN"/>
        </w:rPr>
        <w:t>2）服务部署及安全性要求</w:t>
      </w:r>
    </w:p>
    <w:p>
      <w:pPr>
        <w:spacing w:line="360" w:lineRule="auto"/>
        <w:ind w:firstLine="480" w:firstLineChars="200"/>
        <w:rPr>
          <w:rFonts w:hint="default" w:ascii="仿宋" w:hAnsi="仿宋" w:eastAsia="仿宋" w:cs="Times New Roman"/>
          <w:sz w:val="24"/>
          <w:szCs w:val="28"/>
          <w:lang w:val="en-US" w:eastAsia="zh-CN"/>
        </w:rPr>
      </w:pPr>
      <w:r>
        <w:rPr>
          <w:rFonts w:hint="eastAsia" w:ascii="仿宋" w:hAnsi="仿宋" w:eastAsia="仿宋" w:cs="Times New Roman"/>
          <w:sz w:val="24"/>
          <w:szCs w:val="28"/>
          <w:lang w:val="en-US" w:eastAsia="zh-CN"/>
        </w:rPr>
        <w:t>（1）要求保障应用服务的稳定性及安全性，相关服务支持集群部署。</w:t>
      </w:r>
    </w:p>
    <w:p>
      <w:pPr>
        <w:spacing w:line="360" w:lineRule="auto"/>
        <w:ind w:firstLine="480" w:firstLineChars="200"/>
        <w:rPr>
          <w:rFonts w:hint="eastAsia" w:ascii="仿宋" w:hAnsi="仿宋" w:eastAsia="仿宋" w:cs="Times New Roman"/>
          <w:sz w:val="24"/>
          <w:szCs w:val="28"/>
          <w:lang w:val="en-US" w:eastAsia="zh-CN"/>
        </w:rPr>
      </w:pPr>
      <w:r>
        <w:rPr>
          <w:rFonts w:hint="eastAsia" w:ascii="仿宋" w:hAnsi="仿宋" w:eastAsia="仿宋" w:cs="Times New Roman"/>
          <w:sz w:val="24"/>
          <w:szCs w:val="28"/>
          <w:lang w:val="en-US" w:eastAsia="zh-CN"/>
        </w:rPr>
        <w:t>（2）测试环境及线上环境的应用漏洞需按太保集团及采购人管理要求及时修复。</w:t>
      </w:r>
    </w:p>
    <w:p>
      <w:pPr>
        <w:spacing w:line="360" w:lineRule="auto"/>
        <w:ind w:firstLine="480" w:firstLineChars="200"/>
        <w:rPr>
          <w:rFonts w:hint="default" w:ascii="仿宋" w:hAnsi="仿宋" w:eastAsia="仿宋" w:cs="Times New Roman"/>
          <w:sz w:val="24"/>
          <w:szCs w:val="28"/>
          <w:lang w:val="en-US" w:eastAsia="zh-CN"/>
        </w:rPr>
      </w:pPr>
      <w:r>
        <w:rPr>
          <w:rFonts w:hint="eastAsia" w:ascii="仿宋" w:hAnsi="仿宋" w:eastAsia="仿宋" w:cs="Times New Roman"/>
          <w:sz w:val="24"/>
          <w:szCs w:val="28"/>
          <w:lang w:val="en-US" w:eastAsia="zh-CN"/>
        </w:rPr>
        <w:t>（3）满足太保集团的信创要求。</w:t>
      </w:r>
    </w:p>
    <w:p>
      <w:pPr>
        <w:numPr>
          <w:ilvl w:val="0"/>
          <w:numId w:val="3"/>
        </w:numPr>
        <w:spacing w:line="360" w:lineRule="auto"/>
        <w:outlineLvl w:val="0"/>
        <w:rPr>
          <w:rFonts w:hint="default" w:ascii="黑体" w:hAnsi="黑体" w:eastAsia="黑体" w:cs="黑体"/>
          <w:b/>
          <w:sz w:val="24"/>
          <w:lang w:val="en-US" w:eastAsia="zh-CN"/>
        </w:rPr>
      </w:pPr>
      <w:r>
        <w:rPr>
          <w:rFonts w:hint="eastAsia" w:ascii="黑体" w:hAnsi="黑体" w:eastAsia="黑体" w:cs="黑体"/>
          <w:b/>
          <w:sz w:val="24"/>
          <w:lang w:val="en-US" w:eastAsia="zh-CN"/>
        </w:rPr>
        <w:t>服务方式</w:t>
      </w:r>
    </w:p>
    <w:p>
      <w:pPr>
        <w:spacing w:line="360" w:lineRule="auto"/>
        <w:ind w:firstLine="480" w:firstLineChars="200"/>
        <w:rPr>
          <w:rFonts w:hint="default" w:ascii="仿宋" w:hAnsi="仿宋" w:eastAsia="仿宋" w:cs="Times New Roman"/>
          <w:sz w:val="24"/>
          <w:szCs w:val="28"/>
          <w:lang w:val="en-US" w:eastAsia="zh-CN"/>
        </w:rPr>
      </w:pPr>
      <w:r>
        <w:rPr>
          <w:rFonts w:hint="eastAsia" w:ascii="仿宋" w:hAnsi="仿宋" w:eastAsia="仿宋" w:cs="Times New Roman"/>
          <w:sz w:val="24"/>
          <w:szCs w:val="28"/>
          <w:lang w:val="en-US" w:eastAsia="zh-CN"/>
        </w:rPr>
        <w:t>本项目采购合同期内，提供驻场，接受甲方管理，按甲方要求开展工作。</w:t>
      </w:r>
    </w:p>
    <w:p>
      <w:pPr>
        <w:numPr>
          <w:ilvl w:val="0"/>
          <w:numId w:val="3"/>
        </w:numPr>
        <w:spacing w:line="360" w:lineRule="auto"/>
        <w:outlineLvl w:val="0"/>
        <w:rPr>
          <w:rFonts w:ascii="黑体" w:hAnsi="黑体" w:eastAsia="黑体" w:cs="黑体"/>
          <w:b/>
          <w:sz w:val="24"/>
        </w:rPr>
      </w:pPr>
      <w:r>
        <w:rPr>
          <w:rFonts w:hint="eastAsia" w:ascii="黑体" w:hAnsi="黑体" w:eastAsia="黑体" w:cs="黑体"/>
          <w:b/>
          <w:sz w:val="24"/>
          <w:lang w:val="en-US" w:eastAsia="zh-CN"/>
        </w:rPr>
        <w:t>项目人员基本要求</w:t>
      </w:r>
    </w:p>
    <w:p>
      <w:pPr>
        <w:spacing w:line="360" w:lineRule="auto"/>
        <w:ind w:firstLine="480" w:firstLineChars="200"/>
        <w:rPr>
          <w:rFonts w:ascii="黑体" w:hAnsi="黑体" w:eastAsia="黑体" w:cs="黑体"/>
          <w:b/>
          <w:sz w:val="24"/>
          <w:highlight w:val="none"/>
        </w:rPr>
      </w:pPr>
      <w:r>
        <w:rPr>
          <w:rFonts w:hint="eastAsia" w:ascii="仿宋" w:hAnsi="仿宋" w:eastAsia="仿宋" w:cs="仿宋"/>
          <w:sz w:val="24"/>
          <w:highlight w:val="none"/>
          <w:lang w:val="en-US" w:eastAsia="zh-CN"/>
        </w:rPr>
        <w:t>项目经理：</w:t>
      </w:r>
    </w:p>
    <w:p>
      <w:pPr>
        <w:spacing w:line="360" w:lineRule="auto"/>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（1）拥有5年以上大型业务系统项目管理经验；</w:t>
      </w:r>
    </w:p>
    <w:p>
      <w:pPr>
        <w:spacing w:line="360" w:lineRule="auto"/>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（2）有大型BS架构系统环境搭建及全流程项目交付经历；</w:t>
      </w:r>
    </w:p>
    <w:p>
      <w:pPr>
        <w:spacing w:line="360" w:lineRule="auto"/>
        <w:ind w:firstLine="480" w:firstLineChars="200"/>
        <w:rPr>
          <w:rFonts w:hint="eastAsia" w:ascii="仿宋" w:hAnsi="仿宋" w:eastAsia="仿宋" w:cs="仿宋"/>
          <w:b w:val="0"/>
          <w:bCs w:val="0"/>
          <w:sz w:val="24"/>
          <w:highlight w:val="none"/>
          <w:lang w:val="en-US" w:eastAsia="zh-CN"/>
        </w:rPr>
      </w:pPr>
      <w:r>
        <w:rPr>
          <w:rFonts w:hint="eastAsia" w:ascii="仿宋" w:hAnsi="仿宋" w:eastAsia="仿宋" w:cs="仿宋"/>
          <w:b w:val="0"/>
          <w:bCs w:val="0"/>
          <w:sz w:val="24"/>
          <w:highlight w:val="none"/>
          <w:lang w:val="en-US" w:eastAsia="zh-CN"/>
        </w:rPr>
        <w:t>（3）掌握数据安全合规要求，具备安全风险评估能力。</w:t>
      </w:r>
    </w:p>
    <w:p>
      <w:pPr>
        <w:spacing w:line="360" w:lineRule="auto"/>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（4）熟练使用项目</w:t>
      </w:r>
      <w:r>
        <w:rPr>
          <w:rFonts w:hint="default" w:ascii="仿宋" w:hAnsi="仿宋" w:eastAsia="仿宋" w:cs="仿宋"/>
          <w:sz w:val="24"/>
          <w:highlight w:val="none"/>
          <w:lang w:val="en-US" w:eastAsia="zh-CN"/>
        </w:rPr>
        <w:t>范围控制及风险评估工具</w:t>
      </w:r>
      <w:r>
        <w:rPr>
          <w:rFonts w:hint="eastAsia" w:ascii="仿宋" w:hAnsi="仿宋" w:eastAsia="仿宋" w:cs="仿宋"/>
          <w:sz w:val="24"/>
          <w:highlight w:val="none"/>
          <w:lang w:val="en-US" w:eastAsia="zh-CN"/>
        </w:rPr>
        <w:t>，能够独立完成项目计划制定与进度把控，具备较强的进度、质量、范围和变更管理能力。</w:t>
      </w:r>
    </w:p>
    <w:p>
      <w:pPr>
        <w:spacing w:line="360" w:lineRule="auto"/>
        <w:ind w:firstLine="480" w:firstLineChars="200"/>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（5）具备良好的沟通协调能力，有跨系统协调经验的优先。</w:t>
      </w:r>
    </w:p>
    <w:p>
      <w:pPr>
        <w:spacing w:line="360" w:lineRule="auto"/>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技术经理：</w:t>
      </w:r>
    </w:p>
    <w:p>
      <w:pPr>
        <w:spacing w:line="360" w:lineRule="auto"/>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（1）拥有5年以上大型业务系统的从业经验，有3年以上大型业务系统的技术管理、架构设计或技术负责人经验的优先；</w:t>
      </w:r>
    </w:p>
    <w:p>
      <w:pPr>
        <w:spacing w:line="360" w:lineRule="auto"/>
        <w:ind w:firstLine="480" w:firstLineChars="200"/>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（2）有大型BS架构系统环境搭建经历；</w:t>
      </w:r>
    </w:p>
    <w:p>
      <w:pPr>
        <w:spacing w:line="360" w:lineRule="auto"/>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（3）掌握前后端主流开发技术，具备安全架构设计能力；</w:t>
      </w:r>
    </w:p>
    <w:p>
      <w:pPr>
        <w:spacing w:line="360" w:lineRule="auto"/>
        <w:ind w:firstLine="480" w:firstLineChars="200"/>
        <w:rPr>
          <w:rFonts w:hint="eastAsia" w:ascii="仿宋" w:hAnsi="仿宋" w:eastAsia="仿宋" w:cs="仿宋"/>
          <w:b/>
          <w:bCs/>
          <w:sz w:val="24"/>
          <w:highlight w:val="none"/>
          <w:lang w:val="en-US" w:eastAsia="zh-CN"/>
        </w:rPr>
      </w:pPr>
      <w:r>
        <w:rPr>
          <w:rFonts w:hint="eastAsia" w:ascii="仿宋" w:hAnsi="仿宋" w:eastAsia="仿宋" w:cs="仿宋"/>
          <w:sz w:val="24"/>
          <w:highlight w:val="none"/>
          <w:lang w:val="en-US" w:eastAsia="zh-CN"/>
        </w:rPr>
        <w:t>（4）具备跨系统方案设计能力，有相关集成对接开发工作经验优先考虑</w:t>
      </w:r>
      <w:r>
        <w:rPr>
          <w:rFonts w:hint="eastAsia" w:ascii="仿宋" w:hAnsi="仿宋" w:eastAsia="仿宋" w:cs="仿宋"/>
          <w:b/>
          <w:bCs/>
          <w:sz w:val="24"/>
          <w:highlight w:val="none"/>
          <w:lang w:val="en-US" w:eastAsia="zh-CN"/>
        </w:rPr>
        <w:t>。</w:t>
      </w:r>
    </w:p>
    <w:p>
      <w:pPr>
        <w:spacing w:line="360" w:lineRule="auto"/>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（5）具备系统调试、性能分析与技术文档编写能力。</w:t>
      </w:r>
    </w:p>
    <w:p>
      <w:pPr>
        <w:spacing w:line="360" w:lineRule="auto"/>
        <w:ind w:firstLine="480" w:firstLineChars="200"/>
        <w:rPr>
          <w:rFonts w:hint="eastAsia"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项目服务外包人员的资质证明应在驻场前通过我司验证。</w:t>
      </w:r>
    </w:p>
    <w:p>
      <w:pPr>
        <w:spacing w:line="360" w:lineRule="auto"/>
        <w:ind w:firstLine="480" w:firstLineChars="200"/>
        <w:rPr>
          <w:rFonts w:hint="eastAsia" w:ascii="仿宋" w:hAnsi="仿宋" w:eastAsia="仿宋" w:cs="Times New Roman"/>
          <w:sz w:val="24"/>
          <w:szCs w:val="28"/>
          <w:highlight w:val="none"/>
          <w:lang w:val="en-US" w:eastAsia="zh-CN"/>
        </w:rPr>
      </w:pPr>
      <w:r>
        <w:rPr>
          <w:rFonts w:hint="eastAsia" w:ascii="仿宋" w:hAnsi="仿宋" w:eastAsia="仿宋" w:cs="Times New Roman"/>
          <w:sz w:val="24"/>
          <w:szCs w:val="28"/>
          <w:highlight w:val="none"/>
          <w:lang w:val="en-US" w:eastAsia="zh-CN"/>
        </w:rPr>
        <w:t>为本项目产生的所有工作成果，包括但不限于定制开发的源代码、技术文档、设计方案等，其知识产权（包括著作权、专利申请权等）自产生之日起，全部、排他性地归属于太安农险。</w:t>
      </w:r>
    </w:p>
    <w:p>
      <w:pPr>
        <w:numPr>
          <w:ilvl w:val="0"/>
          <w:numId w:val="2"/>
        </w:numPr>
        <w:spacing w:line="360" w:lineRule="auto"/>
        <w:ind w:firstLine="472" w:firstLineChars="196"/>
        <w:outlineLvl w:val="0"/>
        <w:rPr>
          <w:rFonts w:ascii="黑体" w:hAnsi="黑体" w:eastAsia="黑体" w:cs="黑体"/>
          <w:b/>
          <w:sz w:val="24"/>
        </w:rPr>
      </w:pPr>
      <w:r>
        <w:rPr>
          <w:rFonts w:hint="eastAsia" w:ascii="黑体" w:hAnsi="黑体" w:eastAsia="黑体" w:cs="黑体"/>
          <w:b/>
          <w:sz w:val="24"/>
        </w:rPr>
        <w:t>服务要求</w:t>
      </w:r>
    </w:p>
    <w:p>
      <w:pPr>
        <w:spacing w:line="360" w:lineRule="auto"/>
        <w:ind w:firstLine="480" w:firstLineChars="200"/>
        <w:rPr>
          <w:rFonts w:ascii="仿宋" w:hAnsi="仿宋" w:eastAsia="仿宋" w:cs="仿宋"/>
          <w:sz w:val="24"/>
        </w:rPr>
      </w:pPr>
      <w:r>
        <w:rPr>
          <w:rFonts w:hint="eastAsia" w:ascii="仿宋" w:hAnsi="仿宋" w:eastAsia="仿宋" w:cs="仿宋"/>
          <w:sz w:val="24"/>
        </w:rPr>
        <w:t>1.本次</w:t>
      </w:r>
      <w:r>
        <w:rPr>
          <w:rFonts w:hint="eastAsia" w:ascii="仿宋" w:hAnsi="仿宋" w:eastAsia="仿宋" w:cs="仿宋"/>
          <w:sz w:val="24"/>
          <w:lang w:val="en-US" w:eastAsia="zh-CN"/>
        </w:rPr>
        <w:t>项目</w:t>
      </w:r>
      <w:r>
        <w:rPr>
          <w:rFonts w:hint="eastAsia" w:ascii="仿宋" w:hAnsi="仿宋" w:eastAsia="仿宋" w:cs="仿宋"/>
          <w:sz w:val="24"/>
        </w:rPr>
        <w:t>要求项目组成员必须遵守太安农险的</w:t>
      </w:r>
      <w:r>
        <w:rPr>
          <w:rFonts w:hint="eastAsia" w:ascii="仿宋" w:hAnsi="仿宋" w:eastAsia="仿宋" w:cs="仿宋"/>
          <w:sz w:val="24"/>
          <w:lang w:val="en-US" w:eastAsia="zh-CN"/>
        </w:rPr>
        <w:t>外包</w:t>
      </w:r>
      <w:r>
        <w:rPr>
          <w:rFonts w:hint="eastAsia" w:ascii="仿宋" w:hAnsi="仿宋" w:eastAsia="仿宋" w:cs="仿宋"/>
          <w:sz w:val="24"/>
        </w:rPr>
        <w:t>人员管理办法</w:t>
      </w:r>
      <w:r>
        <w:rPr>
          <w:rFonts w:hint="eastAsia" w:ascii="仿宋" w:hAnsi="仿宋" w:eastAsia="仿宋" w:cs="仿宋"/>
          <w:sz w:val="24"/>
          <w:lang w:eastAsia="zh-CN"/>
        </w:rPr>
        <w:t>，</w:t>
      </w:r>
      <w:r>
        <w:rPr>
          <w:rFonts w:hint="eastAsia" w:ascii="仿宋" w:hAnsi="仿宋" w:eastAsia="仿宋" w:cs="仿宋"/>
          <w:sz w:val="24"/>
        </w:rPr>
        <w:t>并遵守《银行保险机构信息科技外包风险监管办法》（</w:t>
      </w:r>
      <w:r>
        <w:rPr>
          <w:rFonts w:hint="eastAsia" w:ascii="仿宋" w:hAnsi="仿宋" w:eastAsia="仿宋" w:cs="仿宋"/>
          <w:sz w:val="24"/>
          <w:lang w:val="en-US" w:eastAsia="zh-CN"/>
        </w:rPr>
        <w:t>原</w:t>
      </w:r>
      <w:r>
        <w:rPr>
          <w:rFonts w:hint="eastAsia" w:ascii="仿宋" w:hAnsi="仿宋" w:eastAsia="仿宋" w:cs="仿宋"/>
          <w:sz w:val="24"/>
        </w:rPr>
        <w:t>银保监规〔2021〕47号）的相关要求；；</w:t>
      </w:r>
    </w:p>
    <w:p>
      <w:pPr>
        <w:spacing w:line="360" w:lineRule="auto"/>
        <w:ind w:firstLine="480" w:firstLineChars="200"/>
        <w:rPr>
          <w:rFonts w:ascii="仿宋" w:hAnsi="仿宋" w:eastAsia="仿宋" w:cs="仿宋"/>
          <w:sz w:val="24"/>
        </w:rPr>
      </w:pPr>
      <w:r>
        <w:rPr>
          <w:rFonts w:hint="eastAsia" w:ascii="仿宋" w:hAnsi="仿宋" w:eastAsia="仿宋" w:cs="仿宋"/>
          <w:sz w:val="24"/>
        </w:rPr>
        <w:t>2.供应商需具有提供符合规格的项目实施能力，承诺按时、保质完成项目及项目验收，并在</w:t>
      </w:r>
      <w:r>
        <w:rPr>
          <w:rFonts w:hint="eastAsia" w:ascii="仿宋" w:hAnsi="仿宋" w:eastAsia="仿宋" w:cs="仿宋"/>
          <w:sz w:val="24"/>
          <w:lang w:val="en-US" w:eastAsia="zh-CN"/>
        </w:rPr>
        <w:t>竞价</w:t>
      </w:r>
      <w:r>
        <w:rPr>
          <w:rFonts w:hint="eastAsia" w:ascii="仿宋" w:hAnsi="仿宋" w:eastAsia="仿宋" w:cs="仿宋"/>
          <w:sz w:val="24"/>
        </w:rPr>
        <w:t>文件中明确项目服务的质量及安全保密承诺；</w:t>
      </w:r>
    </w:p>
    <w:p>
      <w:pPr>
        <w:spacing w:line="360" w:lineRule="auto"/>
        <w:ind w:firstLine="480" w:firstLineChars="200"/>
        <w:rPr>
          <w:rFonts w:ascii="仿宋" w:hAnsi="仿宋" w:eastAsia="仿宋" w:cs="仿宋"/>
          <w:sz w:val="24"/>
        </w:rPr>
      </w:pPr>
      <w:r>
        <w:rPr>
          <w:rFonts w:hint="eastAsia" w:ascii="仿宋" w:hAnsi="仿宋" w:eastAsia="仿宋" w:cs="仿宋"/>
          <w:sz w:val="24"/>
        </w:rPr>
        <w:t>3.供应商需具有提供完善的售后服务的能力；</w:t>
      </w:r>
    </w:p>
    <w:p>
      <w:pPr>
        <w:spacing w:line="360" w:lineRule="auto"/>
        <w:ind w:firstLine="480" w:firstLineChars="200"/>
        <w:rPr>
          <w:rFonts w:ascii="仿宋" w:hAnsi="仿宋" w:eastAsia="仿宋" w:cs="仿宋"/>
          <w:sz w:val="24"/>
        </w:rPr>
      </w:pPr>
      <w:r>
        <w:rPr>
          <w:rFonts w:hint="eastAsia" w:ascii="仿宋" w:hAnsi="仿宋" w:eastAsia="仿宋" w:cs="仿宋"/>
          <w:sz w:val="24"/>
        </w:rPr>
        <w:t>4.供应商需提供多种技术支持手段，如电话支持、邮件支持、现场支持等；</w:t>
      </w:r>
    </w:p>
    <w:p>
      <w:pPr>
        <w:spacing w:line="360" w:lineRule="auto"/>
        <w:ind w:firstLine="480" w:firstLineChars="200"/>
        <w:rPr>
          <w:rFonts w:ascii="仿宋" w:hAnsi="仿宋" w:eastAsia="仿宋" w:cs="仿宋"/>
          <w:sz w:val="24"/>
        </w:rPr>
      </w:pPr>
      <w:r>
        <w:rPr>
          <w:rFonts w:hint="eastAsia" w:ascii="仿宋" w:hAnsi="仿宋" w:eastAsia="仿宋"/>
          <w:sz w:val="24"/>
        </w:rPr>
        <w:t>5.在项目实施过程中，</w:t>
      </w:r>
      <w:r>
        <w:rPr>
          <w:rFonts w:hint="eastAsia" w:ascii="仿宋" w:hAnsi="仿宋" w:eastAsia="仿宋" w:cs="仿宋"/>
          <w:sz w:val="24"/>
        </w:rPr>
        <w:t>供应商</w:t>
      </w:r>
      <w:r>
        <w:rPr>
          <w:rFonts w:hint="eastAsia" w:ascii="仿宋" w:hAnsi="仿宋" w:eastAsia="仿宋"/>
          <w:sz w:val="24"/>
        </w:rPr>
        <w:t>必须积极服从、配合我方功能调试、上线工作的安排及管理；</w:t>
      </w:r>
      <w:r>
        <w:rPr>
          <w:rFonts w:hint="eastAsia" w:ascii="仿宋" w:hAnsi="仿宋" w:eastAsia="仿宋" w:cs="仿宋"/>
          <w:sz w:val="24"/>
        </w:rPr>
        <w:t>供应商</w:t>
      </w:r>
      <w:r>
        <w:rPr>
          <w:rFonts w:hint="eastAsia" w:ascii="仿宋" w:hAnsi="仿宋" w:eastAsia="仿宋"/>
          <w:sz w:val="24"/>
        </w:rPr>
        <w:t>应分阶段提交有关文档，文档达到要求后由我公司验收确认；</w:t>
      </w:r>
    </w:p>
    <w:p>
      <w:pPr>
        <w:spacing w:line="360" w:lineRule="auto"/>
        <w:ind w:firstLine="480" w:firstLineChars="200"/>
        <w:rPr>
          <w:rFonts w:hint="eastAsia" w:ascii="仿宋" w:hAnsi="仿宋" w:eastAsia="仿宋"/>
          <w:sz w:val="24"/>
          <w:lang w:eastAsia="zh-CN"/>
        </w:rPr>
      </w:pPr>
      <w:r>
        <w:rPr>
          <w:rFonts w:hint="eastAsia" w:ascii="仿宋" w:hAnsi="仿宋" w:eastAsia="仿宋"/>
          <w:sz w:val="24"/>
        </w:rPr>
        <w:t>6.</w:t>
      </w:r>
      <w:r>
        <w:rPr>
          <w:rFonts w:hint="eastAsia" w:ascii="仿宋" w:hAnsi="仿宋" w:eastAsia="仿宋" w:cs="仿宋"/>
          <w:sz w:val="24"/>
        </w:rPr>
        <w:t>供应商</w:t>
      </w:r>
      <w:r>
        <w:rPr>
          <w:rFonts w:hint="eastAsia" w:ascii="仿宋" w:hAnsi="仿宋" w:eastAsia="仿宋"/>
          <w:sz w:val="24"/>
        </w:rPr>
        <w:t>应根据我方的标准及要求，负责做好项目后期资料的整理及我方人员的培训工作</w:t>
      </w:r>
      <w:r>
        <w:rPr>
          <w:rFonts w:hint="eastAsia" w:ascii="仿宋" w:hAnsi="仿宋" w:eastAsia="仿宋"/>
          <w:sz w:val="24"/>
          <w:lang w:eastAsia="zh-CN"/>
        </w:rPr>
        <w:t>；</w:t>
      </w:r>
    </w:p>
    <w:p>
      <w:pPr>
        <w:spacing w:line="360" w:lineRule="auto"/>
        <w:ind w:firstLine="480" w:firstLineChars="200"/>
        <w:rPr>
          <w:rFonts w:hint="eastAsia" w:ascii="仿宋" w:hAnsi="仿宋" w:eastAsia="仿宋"/>
          <w:sz w:val="24"/>
          <w:lang w:eastAsia="zh-CN"/>
        </w:rPr>
      </w:pPr>
      <w:r>
        <w:rPr>
          <w:rFonts w:hint="eastAsia" w:ascii="仿宋" w:hAnsi="仿宋" w:eastAsia="仿宋"/>
          <w:sz w:val="24"/>
        </w:rPr>
        <w:t>7.</w:t>
      </w:r>
      <w:r>
        <w:rPr>
          <w:rFonts w:hint="eastAsia" w:ascii="仿宋" w:hAnsi="仿宋" w:eastAsia="仿宋" w:cs="Times New Roman"/>
          <w:sz w:val="24"/>
          <w:szCs w:val="28"/>
          <w:lang w:val="en-US" w:eastAsia="zh-CN"/>
        </w:rPr>
        <w:t>参与竞价企业</w:t>
      </w:r>
      <w:r>
        <w:rPr>
          <w:rFonts w:hint="eastAsia" w:ascii="仿宋" w:hAnsi="仿宋" w:eastAsia="仿宋"/>
          <w:sz w:val="24"/>
        </w:rPr>
        <w:t>须保证项目软件至少提供1年原厂的免费维保及技术支持服务。同时列明其后的服务年费用报价，供</w:t>
      </w:r>
      <w:r>
        <w:rPr>
          <w:rFonts w:hint="eastAsia" w:ascii="仿宋" w:hAnsi="仿宋" w:eastAsia="仿宋"/>
          <w:sz w:val="24"/>
          <w:lang w:val="en-US" w:eastAsia="zh-CN"/>
        </w:rPr>
        <w:t>我司</w:t>
      </w:r>
      <w:r>
        <w:rPr>
          <w:rFonts w:hint="eastAsia" w:ascii="仿宋" w:hAnsi="仿宋" w:eastAsia="仿宋"/>
          <w:sz w:val="24"/>
        </w:rPr>
        <w:t>参考。</w:t>
      </w:r>
    </w:p>
    <w:p>
      <w:pPr>
        <w:numPr>
          <w:ilvl w:val="0"/>
          <w:numId w:val="2"/>
        </w:numPr>
        <w:spacing w:line="360" w:lineRule="auto"/>
        <w:ind w:firstLine="472" w:firstLineChars="196"/>
        <w:outlineLvl w:val="0"/>
        <w:rPr>
          <w:rFonts w:ascii="黑体" w:hAnsi="黑体" w:eastAsia="黑体" w:cs="黑体"/>
          <w:b/>
          <w:sz w:val="24"/>
        </w:rPr>
      </w:pPr>
      <w:r>
        <w:rPr>
          <w:rFonts w:hint="eastAsia" w:ascii="黑体" w:hAnsi="黑体" w:eastAsia="黑体" w:cs="黑体"/>
          <w:b/>
          <w:sz w:val="24"/>
          <w:lang w:val="en-US" w:eastAsia="zh-CN"/>
        </w:rPr>
        <w:t>项目周期</w:t>
      </w:r>
    </w:p>
    <w:p>
      <w:pPr>
        <w:spacing w:line="360" w:lineRule="auto"/>
        <w:ind w:firstLine="480" w:firstLineChars="200"/>
        <w:rPr>
          <w:rFonts w:hint="default" w:ascii="仿宋" w:hAnsi="仿宋" w:eastAsia="仿宋" w:cs="仿宋"/>
          <w:sz w:val="24"/>
          <w:lang w:val="en-US" w:eastAsia="zh-CN"/>
        </w:rPr>
      </w:pPr>
      <w:r>
        <w:rPr>
          <w:rFonts w:hint="eastAsia" w:ascii="仿宋" w:hAnsi="仿宋" w:eastAsia="仿宋" w:cs="仿宋"/>
          <w:sz w:val="24"/>
        </w:rPr>
        <w:t>本项目自采购合同签订之日起至</w:t>
      </w:r>
      <w:r>
        <w:rPr>
          <w:rFonts w:hint="eastAsia" w:ascii="仿宋" w:hAnsi="仿宋" w:eastAsia="仿宋" w:cs="仿宋"/>
          <w:sz w:val="24"/>
          <w:lang w:val="en-US" w:eastAsia="zh-CN"/>
        </w:rPr>
        <w:t>合同约定终止之日</w:t>
      </w:r>
      <w:r>
        <w:rPr>
          <w:rFonts w:hint="eastAsia" w:ascii="仿宋" w:hAnsi="仿宋" w:eastAsia="仿宋" w:cs="仿宋"/>
          <w:sz w:val="24"/>
        </w:rPr>
        <w:t>完成功能开发、测试和上线。</w:t>
      </w:r>
    </w:p>
    <w:p>
      <w:pPr>
        <w:numPr>
          <w:ilvl w:val="0"/>
          <w:numId w:val="2"/>
        </w:numPr>
        <w:spacing w:line="360" w:lineRule="auto"/>
        <w:ind w:firstLine="472" w:firstLineChars="196"/>
        <w:outlineLvl w:val="0"/>
        <w:rPr>
          <w:rFonts w:hint="eastAsia" w:ascii="黑体" w:hAnsi="黑体" w:eastAsia="黑体" w:cs="黑体"/>
          <w:b/>
          <w:sz w:val="24"/>
          <w:lang w:val="en-US" w:eastAsia="zh-CN"/>
        </w:rPr>
      </w:pPr>
      <w:r>
        <w:rPr>
          <w:rFonts w:hint="eastAsia" w:ascii="黑体" w:hAnsi="黑体" w:eastAsia="黑体" w:cs="黑体"/>
          <w:b/>
          <w:sz w:val="24"/>
          <w:lang w:val="en-US" w:eastAsia="zh-CN"/>
        </w:rPr>
        <w:t>竞价供应商资格要求</w:t>
      </w:r>
    </w:p>
    <w:p>
      <w:pPr>
        <w:spacing w:line="360" w:lineRule="auto"/>
        <w:ind w:firstLine="480" w:firstLineChars="200"/>
        <w:rPr>
          <w:rFonts w:hint="eastAsia" w:ascii="仿宋" w:hAnsi="仿宋" w:eastAsia="仿宋"/>
          <w:sz w:val="24"/>
          <w:lang w:eastAsia="zh-CN"/>
        </w:rPr>
      </w:pPr>
      <w:r>
        <w:rPr>
          <w:rFonts w:hint="eastAsia" w:ascii="仿宋" w:hAnsi="仿宋" w:eastAsia="仿宋"/>
          <w:sz w:val="24"/>
        </w:rPr>
        <w:t>1.</w:t>
      </w:r>
      <w:r>
        <w:rPr>
          <w:rFonts w:hint="eastAsia" w:ascii="仿宋" w:hAnsi="仿宋" w:eastAsia="仿宋"/>
          <w:sz w:val="24"/>
          <w:lang w:val="en-US" w:eastAsia="zh-CN"/>
        </w:rPr>
        <w:t>供应</w:t>
      </w:r>
      <w:r>
        <w:rPr>
          <w:rFonts w:hint="eastAsia" w:ascii="仿宋" w:hAnsi="仿宋" w:eastAsia="仿宋"/>
          <w:sz w:val="24"/>
        </w:rPr>
        <w:t>商必须是在中华人民共和国合法注册和按时进行年检的企业，具有独立承担民事责任的能力，具有合法有效的营业执照（已实行多证合一的，无需另行提供税务登记证、组织机构代码证），经营范围涵盖本项目内容；</w:t>
      </w:r>
    </w:p>
    <w:p>
      <w:pPr>
        <w:spacing w:line="360" w:lineRule="auto"/>
        <w:ind w:firstLine="480" w:firstLineChars="200"/>
        <w:rPr>
          <w:rFonts w:hint="eastAsia" w:ascii="仿宋" w:hAnsi="仿宋" w:eastAsia="仿宋"/>
          <w:sz w:val="24"/>
          <w:lang w:eastAsia="zh-CN"/>
        </w:rPr>
      </w:pPr>
      <w:r>
        <w:rPr>
          <w:rFonts w:hint="eastAsia" w:ascii="仿宋" w:hAnsi="仿宋" w:eastAsia="仿宋"/>
          <w:sz w:val="24"/>
        </w:rPr>
        <w:t>2.</w:t>
      </w:r>
      <w:r>
        <w:rPr>
          <w:rFonts w:hint="eastAsia" w:ascii="仿宋" w:hAnsi="仿宋" w:eastAsia="仿宋"/>
          <w:sz w:val="24"/>
          <w:lang w:val="en-US" w:eastAsia="zh-CN"/>
        </w:rPr>
        <w:t>供应</w:t>
      </w:r>
      <w:r>
        <w:rPr>
          <w:rFonts w:hint="eastAsia" w:ascii="仿宋" w:hAnsi="仿宋" w:eastAsia="仿宋"/>
          <w:sz w:val="24"/>
        </w:rPr>
        <w:t>商企业成立</w:t>
      </w:r>
      <w:r>
        <w:rPr>
          <w:rFonts w:hint="eastAsia" w:ascii="仿宋" w:hAnsi="仿宋" w:eastAsia="仿宋"/>
          <w:sz w:val="24"/>
          <w:lang w:val="en-US" w:eastAsia="zh-CN"/>
        </w:rPr>
        <w:t>10</w:t>
      </w:r>
      <w:r>
        <w:rPr>
          <w:rFonts w:hint="eastAsia" w:ascii="仿宋" w:hAnsi="仿宋" w:eastAsia="仿宋"/>
          <w:sz w:val="24"/>
        </w:rPr>
        <w:t>年</w:t>
      </w:r>
      <w:r>
        <w:rPr>
          <w:rFonts w:hint="eastAsia" w:ascii="仿宋" w:hAnsi="仿宋" w:eastAsia="仿宋"/>
          <w:sz w:val="24"/>
          <w:lang w:val="en-US" w:eastAsia="zh-CN"/>
        </w:rPr>
        <w:t>及</w:t>
      </w:r>
      <w:r>
        <w:rPr>
          <w:rFonts w:hint="eastAsia" w:ascii="仿宋" w:hAnsi="仿宋" w:eastAsia="仿宋"/>
          <w:sz w:val="24"/>
        </w:rPr>
        <w:t>以上，注册资本人民币</w:t>
      </w:r>
      <w:r>
        <w:rPr>
          <w:rFonts w:hint="eastAsia" w:ascii="仿宋" w:hAnsi="仿宋" w:eastAsia="仿宋"/>
          <w:sz w:val="24"/>
          <w:lang w:val="en-US" w:eastAsia="zh-CN"/>
        </w:rPr>
        <w:t>5</w:t>
      </w:r>
      <w:r>
        <w:rPr>
          <w:rFonts w:hint="eastAsia" w:ascii="仿宋" w:hAnsi="仿宋" w:eastAsia="仿宋"/>
          <w:sz w:val="24"/>
        </w:rPr>
        <w:t>00万元</w:t>
      </w:r>
      <w:r>
        <w:rPr>
          <w:rFonts w:hint="eastAsia" w:ascii="仿宋" w:hAnsi="仿宋" w:eastAsia="仿宋"/>
          <w:sz w:val="24"/>
          <w:lang w:val="en-US" w:eastAsia="zh-CN"/>
        </w:rPr>
        <w:t>及</w:t>
      </w:r>
      <w:r>
        <w:rPr>
          <w:rFonts w:hint="eastAsia" w:ascii="仿宋" w:hAnsi="仿宋" w:eastAsia="仿宋"/>
          <w:sz w:val="24"/>
        </w:rPr>
        <w:t>以上；</w:t>
      </w:r>
    </w:p>
    <w:p>
      <w:pPr>
        <w:spacing w:line="360" w:lineRule="auto"/>
        <w:ind w:firstLine="480" w:firstLineChars="200"/>
        <w:rPr>
          <w:rFonts w:hint="eastAsia" w:ascii="仿宋" w:hAnsi="仿宋" w:eastAsia="仿宋"/>
          <w:sz w:val="24"/>
          <w:highlight w:val="none"/>
          <w:lang w:eastAsia="zh-CN"/>
        </w:rPr>
      </w:pPr>
      <w:r>
        <w:rPr>
          <w:rFonts w:hint="eastAsia" w:ascii="仿宋" w:hAnsi="仿宋" w:eastAsia="仿宋"/>
          <w:sz w:val="24"/>
          <w:highlight w:val="none"/>
        </w:rPr>
        <w:t>3.</w:t>
      </w:r>
      <w:r>
        <w:rPr>
          <w:rFonts w:hint="eastAsia" w:ascii="仿宋" w:hAnsi="仿宋" w:eastAsia="仿宋"/>
          <w:sz w:val="24"/>
          <w:highlight w:val="none"/>
          <w:lang w:val="en-US" w:eastAsia="zh-CN"/>
        </w:rPr>
        <w:t>供应商近五年如有金融行业的软件开发经验优先考虑，请提供业绩合同或用户证明复印件</w:t>
      </w:r>
      <w:r>
        <w:rPr>
          <w:rFonts w:hint="eastAsia" w:ascii="仿宋" w:hAnsi="仿宋" w:eastAsia="仿宋"/>
          <w:sz w:val="24"/>
          <w:highlight w:val="none"/>
        </w:rPr>
        <w:t>；</w:t>
      </w:r>
    </w:p>
    <w:p>
      <w:pPr>
        <w:spacing w:line="360" w:lineRule="auto"/>
        <w:ind w:firstLine="480" w:firstLineChars="200"/>
        <w:rPr>
          <w:rFonts w:hint="eastAsia" w:ascii="仿宋" w:hAnsi="仿宋" w:eastAsia="仿宋"/>
          <w:sz w:val="24"/>
          <w:lang w:eastAsia="zh-CN"/>
        </w:rPr>
      </w:pPr>
      <w:r>
        <w:rPr>
          <w:rFonts w:hint="eastAsia" w:ascii="仿宋" w:hAnsi="仿宋" w:eastAsia="仿宋"/>
          <w:sz w:val="24"/>
        </w:rPr>
        <w:t>4.</w:t>
      </w:r>
      <w:r>
        <w:rPr>
          <w:rFonts w:hint="eastAsia" w:ascii="仿宋" w:hAnsi="仿宋" w:eastAsia="仿宋"/>
          <w:sz w:val="24"/>
          <w:lang w:val="en-US" w:eastAsia="zh-CN"/>
        </w:rPr>
        <w:t>供应</w:t>
      </w:r>
      <w:r>
        <w:rPr>
          <w:rFonts w:hint="eastAsia" w:ascii="仿宋" w:hAnsi="仿宋" w:eastAsia="仿宋"/>
          <w:sz w:val="24"/>
        </w:rPr>
        <w:t>商近三年无不存在被责令停业、被吊销营业执照、破产重整、被接管或重大股权变更等影响持续履约能力的情形，股权结构及主营业务稳定；</w:t>
      </w:r>
    </w:p>
    <w:p>
      <w:pPr>
        <w:spacing w:line="360" w:lineRule="auto"/>
        <w:ind w:firstLine="480" w:firstLineChars="200"/>
        <w:rPr>
          <w:rFonts w:hint="eastAsia" w:ascii="仿宋" w:hAnsi="仿宋" w:eastAsia="仿宋"/>
          <w:sz w:val="24"/>
          <w:lang w:eastAsia="zh-CN"/>
        </w:rPr>
      </w:pPr>
      <w:r>
        <w:rPr>
          <w:rFonts w:hint="eastAsia" w:ascii="仿宋" w:hAnsi="仿宋" w:eastAsia="仿宋"/>
          <w:sz w:val="24"/>
        </w:rPr>
        <w:t>5.</w:t>
      </w:r>
      <w:r>
        <w:rPr>
          <w:rFonts w:hint="eastAsia" w:ascii="仿宋" w:hAnsi="仿宋" w:eastAsia="仿宋"/>
          <w:sz w:val="24"/>
          <w:lang w:val="en-US" w:eastAsia="zh-CN"/>
        </w:rPr>
        <w:t>供应</w:t>
      </w:r>
      <w:r>
        <w:rPr>
          <w:rFonts w:hint="eastAsia" w:ascii="仿宋" w:hAnsi="仿宋" w:eastAsia="仿宋"/>
          <w:sz w:val="24"/>
        </w:rPr>
        <w:t>商近三年没有违反知识产权保护等国家有关法律的行为；</w:t>
      </w:r>
    </w:p>
    <w:p>
      <w:pPr>
        <w:spacing w:line="360" w:lineRule="auto"/>
        <w:ind w:firstLine="480" w:firstLineChars="200"/>
        <w:rPr>
          <w:rFonts w:hint="eastAsia" w:ascii="仿宋" w:hAnsi="仿宋" w:eastAsia="仿宋"/>
          <w:sz w:val="24"/>
          <w:lang w:eastAsia="zh-CN"/>
        </w:rPr>
      </w:pPr>
      <w:r>
        <w:rPr>
          <w:rFonts w:hint="eastAsia" w:ascii="仿宋" w:hAnsi="仿宋" w:eastAsia="仿宋"/>
          <w:sz w:val="24"/>
        </w:rPr>
        <w:t>6.</w:t>
      </w:r>
      <w:r>
        <w:rPr>
          <w:rFonts w:hint="eastAsia" w:ascii="仿宋" w:hAnsi="仿宋" w:eastAsia="仿宋"/>
          <w:sz w:val="24"/>
          <w:lang w:val="en-US" w:eastAsia="zh-CN"/>
        </w:rPr>
        <w:t>供应</w:t>
      </w:r>
      <w:r>
        <w:rPr>
          <w:rFonts w:hint="eastAsia" w:ascii="仿宋" w:hAnsi="仿宋" w:eastAsia="仿宋"/>
          <w:sz w:val="24"/>
        </w:rPr>
        <w:t>商具有固定的工作场所；具有软件产品质量和技术服务质量保证的手段与能力；</w:t>
      </w:r>
    </w:p>
    <w:p>
      <w:pPr>
        <w:spacing w:line="360" w:lineRule="auto"/>
        <w:ind w:firstLine="480" w:firstLineChars="200"/>
        <w:rPr>
          <w:rFonts w:hint="eastAsia" w:ascii="仿宋" w:hAnsi="仿宋" w:eastAsia="仿宋"/>
          <w:sz w:val="24"/>
          <w:lang w:eastAsia="zh-CN"/>
        </w:rPr>
      </w:pPr>
      <w:r>
        <w:rPr>
          <w:rFonts w:hint="eastAsia" w:ascii="仿宋" w:hAnsi="仿宋" w:eastAsia="仿宋"/>
          <w:sz w:val="24"/>
        </w:rPr>
        <w:t>7.</w:t>
      </w:r>
      <w:r>
        <w:rPr>
          <w:rFonts w:hint="eastAsia" w:ascii="仿宋" w:hAnsi="仿宋" w:eastAsia="仿宋"/>
          <w:sz w:val="24"/>
          <w:lang w:val="en-US" w:eastAsia="zh-CN"/>
        </w:rPr>
        <w:t>供应</w:t>
      </w:r>
      <w:r>
        <w:rPr>
          <w:rFonts w:hint="eastAsia" w:ascii="仿宋" w:hAnsi="仿宋" w:eastAsia="仿宋"/>
          <w:sz w:val="24"/>
        </w:rPr>
        <w:t>商应独立</w:t>
      </w:r>
      <w:r>
        <w:rPr>
          <w:rFonts w:hint="eastAsia" w:ascii="仿宋" w:hAnsi="仿宋" w:eastAsia="仿宋"/>
          <w:sz w:val="24"/>
          <w:lang w:val="en-US" w:eastAsia="zh-CN"/>
        </w:rPr>
        <w:t>落实本项目采购服务</w:t>
      </w:r>
      <w:r>
        <w:rPr>
          <w:rFonts w:hint="eastAsia" w:ascii="仿宋" w:hAnsi="仿宋" w:eastAsia="仿宋"/>
          <w:sz w:val="24"/>
        </w:rPr>
        <w:t>，不得以任何形式转包；</w:t>
      </w:r>
    </w:p>
    <w:p>
      <w:pPr>
        <w:spacing w:line="360" w:lineRule="auto"/>
        <w:ind w:firstLine="480" w:firstLineChars="200"/>
        <w:rPr>
          <w:rFonts w:hint="eastAsia" w:ascii="仿宋" w:hAnsi="仿宋" w:eastAsia="仿宋"/>
          <w:sz w:val="24"/>
          <w:lang w:val="en-US" w:eastAsia="zh-CN"/>
        </w:rPr>
      </w:pPr>
      <w:r>
        <w:rPr>
          <w:rFonts w:hint="eastAsia" w:ascii="仿宋" w:hAnsi="仿宋" w:eastAsia="仿宋"/>
          <w:sz w:val="24"/>
        </w:rPr>
        <w:t>8.</w:t>
      </w:r>
      <w:r>
        <w:rPr>
          <w:rFonts w:hint="eastAsia" w:ascii="仿宋" w:hAnsi="仿宋" w:eastAsia="仿宋"/>
          <w:sz w:val="24"/>
          <w:lang w:val="en-US" w:eastAsia="zh-CN"/>
        </w:rPr>
        <w:t>供应</w:t>
      </w:r>
      <w:r>
        <w:rPr>
          <w:rFonts w:hint="eastAsia" w:ascii="仿宋" w:hAnsi="仿宋" w:eastAsia="仿宋"/>
          <w:sz w:val="24"/>
        </w:rPr>
        <w:t>商需按太平洋安信农业保险股份有限公司要求</w:t>
      </w:r>
      <w:r>
        <w:rPr>
          <w:rFonts w:hint="eastAsia" w:ascii="仿宋" w:hAnsi="仿宋" w:eastAsia="仿宋"/>
          <w:sz w:val="24"/>
          <w:lang w:val="en-US" w:eastAsia="zh-CN"/>
        </w:rPr>
        <w:t>的</w:t>
      </w:r>
      <w:r>
        <w:rPr>
          <w:rFonts w:hint="eastAsia" w:ascii="仿宋" w:hAnsi="仿宋" w:eastAsia="仿宋"/>
          <w:sz w:val="24"/>
        </w:rPr>
        <w:t>时间</w:t>
      </w:r>
      <w:r>
        <w:rPr>
          <w:rFonts w:hint="eastAsia" w:ascii="仿宋" w:hAnsi="仿宋" w:eastAsia="仿宋"/>
          <w:sz w:val="24"/>
          <w:lang w:val="en-US" w:eastAsia="zh-CN"/>
        </w:rPr>
        <w:t>节点</w:t>
      </w:r>
      <w:r>
        <w:rPr>
          <w:rFonts w:hint="eastAsia" w:ascii="仿宋" w:hAnsi="仿宋" w:eastAsia="仿宋"/>
          <w:sz w:val="24"/>
        </w:rPr>
        <w:t>完成项目各项</w:t>
      </w:r>
      <w:r>
        <w:rPr>
          <w:rFonts w:hint="eastAsia" w:ascii="仿宋" w:hAnsi="仿宋" w:eastAsia="仿宋"/>
          <w:sz w:val="24"/>
          <w:lang w:val="en-US" w:eastAsia="zh-CN"/>
        </w:rPr>
        <w:t>服务</w:t>
      </w:r>
      <w:r>
        <w:rPr>
          <w:rFonts w:hint="eastAsia" w:ascii="仿宋" w:hAnsi="仿宋" w:eastAsia="仿宋"/>
          <w:sz w:val="24"/>
        </w:rPr>
        <w:t>工作</w:t>
      </w:r>
      <w:r>
        <w:rPr>
          <w:rFonts w:hint="eastAsia" w:ascii="仿宋" w:hAnsi="仿宋" w:eastAsia="仿宋"/>
          <w:sz w:val="24"/>
          <w:lang w:eastAsia="zh-CN"/>
        </w:rPr>
        <w:t>；</w:t>
      </w:r>
    </w:p>
    <w:p>
      <w:pPr>
        <w:spacing w:line="360" w:lineRule="auto"/>
        <w:ind w:firstLine="480" w:firstLineChars="200"/>
        <w:rPr>
          <w:rFonts w:hint="eastAsia" w:ascii="仿宋" w:hAnsi="仿宋" w:eastAsia="仿宋" w:cs="Times New Roman"/>
          <w:sz w:val="24"/>
          <w:szCs w:val="28"/>
          <w:lang w:val="en-US" w:eastAsia="zh-CN"/>
        </w:rPr>
      </w:pPr>
      <w:r>
        <w:rPr>
          <w:rFonts w:hint="eastAsia" w:ascii="仿宋" w:hAnsi="仿宋" w:eastAsia="仿宋" w:cs="Times New Roman"/>
          <w:sz w:val="24"/>
          <w:szCs w:val="28"/>
          <w:lang w:val="en-US" w:eastAsia="zh-CN"/>
        </w:rPr>
        <w:t>9.供应</w:t>
      </w:r>
      <w:r>
        <w:rPr>
          <w:rFonts w:hint="eastAsia" w:ascii="仿宋" w:hAnsi="仿宋" w:eastAsia="仿宋" w:cs="仿宋"/>
          <w:sz w:val="24"/>
        </w:rPr>
        <w:t>商需提供符合</w:t>
      </w:r>
      <w:r>
        <w:rPr>
          <w:rFonts w:hint="eastAsia" w:ascii="仿宋" w:hAnsi="仿宋" w:eastAsia="仿宋" w:cs="仿宋"/>
          <w:sz w:val="24"/>
          <w:lang w:val="en-US" w:eastAsia="zh-CN"/>
        </w:rPr>
        <w:t>要求</w:t>
      </w:r>
      <w:r>
        <w:rPr>
          <w:rFonts w:hint="eastAsia" w:ascii="仿宋" w:hAnsi="仿宋" w:eastAsia="仿宋" w:cs="仿宋"/>
          <w:sz w:val="24"/>
        </w:rPr>
        <w:t>的</w:t>
      </w:r>
      <w:r>
        <w:rPr>
          <w:rFonts w:hint="eastAsia" w:ascii="仿宋" w:hAnsi="仿宋" w:eastAsia="仿宋" w:cs="仿宋"/>
          <w:sz w:val="24"/>
          <w:lang w:val="en-US" w:eastAsia="zh-CN"/>
        </w:rPr>
        <w:t>驻场服务人员</w:t>
      </w:r>
      <w:r>
        <w:rPr>
          <w:rFonts w:hint="eastAsia" w:ascii="仿宋" w:hAnsi="仿宋" w:eastAsia="仿宋" w:cs="仿宋"/>
          <w:sz w:val="24"/>
        </w:rPr>
        <w:t>，承诺按时、保质完成</w:t>
      </w:r>
      <w:r>
        <w:rPr>
          <w:rFonts w:hint="eastAsia" w:ascii="仿宋" w:hAnsi="仿宋" w:eastAsia="仿宋" w:cs="仿宋"/>
          <w:sz w:val="24"/>
          <w:lang w:val="en-US" w:eastAsia="zh-CN"/>
        </w:rPr>
        <w:t>各项工作</w:t>
      </w:r>
      <w:r>
        <w:rPr>
          <w:rFonts w:hint="eastAsia" w:ascii="仿宋" w:hAnsi="仿宋" w:eastAsia="仿宋" w:cs="仿宋"/>
          <w:sz w:val="24"/>
        </w:rPr>
        <w:t>，并在</w:t>
      </w:r>
      <w:r>
        <w:rPr>
          <w:rFonts w:hint="eastAsia" w:ascii="仿宋" w:hAnsi="仿宋" w:eastAsia="仿宋" w:cs="仿宋"/>
          <w:sz w:val="24"/>
          <w:lang w:val="en-US" w:eastAsia="zh-CN"/>
        </w:rPr>
        <w:t>竞价</w:t>
      </w:r>
      <w:r>
        <w:rPr>
          <w:rFonts w:hint="eastAsia" w:ascii="仿宋" w:hAnsi="仿宋" w:eastAsia="仿宋" w:cs="仿宋"/>
          <w:sz w:val="24"/>
        </w:rPr>
        <w:t>文件中明确服务质量及安全保密承诺</w:t>
      </w:r>
      <w:r>
        <w:rPr>
          <w:rFonts w:hint="eastAsia" w:ascii="仿宋" w:hAnsi="仿宋" w:eastAsia="仿宋" w:cs="仿宋"/>
          <w:sz w:val="24"/>
          <w:lang w:eastAsia="zh-CN"/>
        </w:rPr>
        <w:t>；</w:t>
      </w:r>
    </w:p>
    <w:p>
      <w:pPr>
        <w:spacing w:line="360" w:lineRule="auto"/>
        <w:ind w:firstLine="480" w:firstLineChars="200"/>
        <w:rPr>
          <w:rFonts w:hint="eastAsia" w:ascii="仿宋" w:hAnsi="仿宋" w:eastAsia="仿宋" w:cs="仿宋"/>
          <w:sz w:val="24"/>
        </w:rPr>
      </w:pPr>
      <w:r>
        <w:rPr>
          <w:rFonts w:hint="eastAsia" w:ascii="仿宋" w:hAnsi="仿宋" w:eastAsia="仿宋" w:cs="Times New Roman"/>
          <w:sz w:val="24"/>
          <w:szCs w:val="28"/>
          <w:lang w:val="en-US" w:eastAsia="zh-CN"/>
        </w:rPr>
        <w:t>10.供应商需</w:t>
      </w:r>
      <w:r>
        <w:rPr>
          <w:rFonts w:hint="eastAsia" w:ascii="仿宋" w:hAnsi="仿宋" w:eastAsia="仿宋"/>
          <w:sz w:val="24"/>
        </w:rPr>
        <w:t>根据我方的标准及要求，负责做好</w:t>
      </w:r>
      <w:r>
        <w:rPr>
          <w:rFonts w:hint="eastAsia" w:ascii="仿宋" w:hAnsi="仿宋" w:eastAsia="仿宋"/>
          <w:sz w:val="24"/>
          <w:lang w:val="en-US" w:eastAsia="zh-CN"/>
        </w:rPr>
        <w:t>驻场</w:t>
      </w:r>
      <w:r>
        <w:rPr>
          <w:rFonts w:hint="eastAsia" w:ascii="仿宋" w:hAnsi="仿宋" w:eastAsia="仿宋"/>
          <w:sz w:val="24"/>
        </w:rPr>
        <w:t>人员的培训</w:t>
      </w:r>
      <w:r>
        <w:rPr>
          <w:rFonts w:hint="eastAsia" w:ascii="仿宋" w:hAnsi="仿宋" w:eastAsia="仿宋"/>
          <w:sz w:val="24"/>
          <w:lang w:eastAsia="zh-CN"/>
        </w:rPr>
        <w:t>、</w:t>
      </w:r>
      <w:r>
        <w:rPr>
          <w:rFonts w:hint="eastAsia" w:ascii="仿宋" w:hAnsi="仿宋" w:eastAsia="仿宋" w:cs="仿宋"/>
          <w:sz w:val="24"/>
        </w:rPr>
        <w:t>技术支持</w:t>
      </w:r>
      <w:r>
        <w:rPr>
          <w:rFonts w:hint="eastAsia" w:ascii="仿宋" w:hAnsi="仿宋" w:eastAsia="仿宋" w:cs="仿宋"/>
          <w:sz w:val="24"/>
          <w:lang w:val="en-US" w:eastAsia="zh-CN"/>
        </w:rPr>
        <w:t>等</w:t>
      </w:r>
      <w:r>
        <w:rPr>
          <w:rFonts w:hint="eastAsia" w:ascii="仿宋" w:hAnsi="仿宋" w:eastAsia="仿宋"/>
          <w:sz w:val="24"/>
        </w:rPr>
        <w:t>工作。</w:t>
      </w:r>
    </w:p>
    <w:p>
      <w:pPr>
        <w:numPr>
          <w:ilvl w:val="0"/>
          <w:numId w:val="2"/>
        </w:numPr>
        <w:spacing w:line="360" w:lineRule="auto"/>
        <w:ind w:firstLine="472" w:firstLineChars="196"/>
        <w:outlineLvl w:val="0"/>
        <w:rPr>
          <w:rFonts w:ascii="黑体" w:hAnsi="黑体" w:eastAsia="黑体" w:cs="黑体"/>
          <w:b/>
          <w:sz w:val="24"/>
        </w:rPr>
      </w:pPr>
      <w:r>
        <w:rPr>
          <w:rFonts w:hint="eastAsia" w:ascii="黑体" w:hAnsi="黑体" w:eastAsia="黑体" w:cs="黑体"/>
          <w:b/>
          <w:sz w:val="24"/>
        </w:rPr>
        <w:t>项目价格构成</w:t>
      </w:r>
    </w:p>
    <w:p>
      <w:pPr>
        <w:tabs>
          <w:tab w:val="left" w:pos="900"/>
        </w:tabs>
        <w:spacing w:line="360" w:lineRule="auto"/>
        <w:ind w:firstLine="480" w:firstLineChars="200"/>
        <w:rPr>
          <w:rFonts w:hint="eastAsia" w:ascii="仿宋" w:hAnsi="仿宋" w:eastAsia="仿宋" w:cs="仿宋"/>
          <w:sz w:val="24"/>
        </w:rPr>
      </w:pPr>
      <w:r>
        <w:rPr>
          <w:rFonts w:hint="eastAsia" w:ascii="仿宋" w:hAnsi="仿宋" w:eastAsia="仿宋" w:cs="仿宋"/>
          <w:sz w:val="24"/>
        </w:rPr>
        <w:t>项目金额按照项目形式进行报价，</w:t>
      </w:r>
      <w:r>
        <w:rPr>
          <w:rFonts w:hint="eastAsia" w:ascii="仿宋" w:hAnsi="仿宋" w:eastAsia="仿宋" w:cs="仿宋"/>
          <w:sz w:val="24"/>
          <w:lang w:val="en-US" w:eastAsia="zh-CN"/>
        </w:rPr>
        <w:t>供应商</w:t>
      </w:r>
      <w:r>
        <w:rPr>
          <w:rFonts w:hint="eastAsia" w:ascii="仿宋" w:hAnsi="仿宋" w:eastAsia="仿宋" w:cs="仿宋"/>
          <w:sz w:val="24"/>
        </w:rPr>
        <w:t>应根据我司</w:t>
      </w:r>
      <w:r>
        <w:rPr>
          <w:rFonts w:hint="eastAsia" w:ascii="仿宋" w:hAnsi="仿宋" w:eastAsia="仿宋" w:cs="仿宋"/>
          <w:sz w:val="24"/>
          <w:lang w:val="en-US" w:eastAsia="zh-CN"/>
        </w:rPr>
        <w:t>所列</w:t>
      </w:r>
      <w:r>
        <w:rPr>
          <w:rFonts w:hint="eastAsia" w:ascii="仿宋" w:hAnsi="仿宋" w:eastAsia="仿宋" w:cs="仿宋"/>
          <w:sz w:val="24"/>
        </w:rPr>
        <w:t>开发功能需求对开发周期、成本、资源等进行综合评估</w:t>
      </w:r>
      <w:r>
        <w:rPr>
          <w:rFonts w:hint="eastAsia" w:ascii="仿宋" w:hAnsi="仿宋" w:eastAsia="仿宋" w:cs="仿宋"/>
          <w:sz w:val="24"/>
          <w:lang w:val="en-US" w:eastAsia="zh-CN"/>
        </w:rPr>
        <w:t>后报出含税总价，</w:t>
      </w:r>
      <w:r>
        <w:rPr>
          <w:rFonts w:hint="eastAsia" w:ascii="仿宋" w:hAnsi="仿宋" w:eastAsia="仿宋" w:cs="仿宋"/>
          <w:sz w:val="24"/>
        </w:rPr>
        <w:t>该总价应包含完成本项目全部工作所需的一切费用。最终项目总费用根据最终报价确定。</w:t>
      </w:r>
    </w:p>
    <w:p>
      <w:pPr>
        <w:numPr>
          <w:ilvl w:val="0"/>
          <w:numId w:val="2"/>
        </w:numPr>
        <w:spacing w:line="360" w:lineRule="auto"/>
        <w:ind w:firstLine="472" w:firstLineChars="196"/>
        <w:outlineLvl w:val="0"/>
        <w:rPr>
          <w:rFonts w:ascii="黑体" w:hAnsi="黑体" w:eastAsia="黑体" w:cs="黑体"/>
          <w:b/>
          <w:sz w:val="24"/>
        </w:rPr>
      </w:pPr>
      <w:r>
        <w:rPr>
          <w:rFonts w:hint="eastAsia" w:ascii="黑体" w:hAnsi="黑体" w:eastAsia="黑体" w:cs="黑体"/>
          <w:b/>
          <w:sz w:val="24"/>
        </w:rPr>
        <w:t>报价文件构成</w:t>
      </w:r>
    </w:p>
    <w:p>
      <w:pPr>
        <w:spacing w:line="360" w:lineRule="auto"/>
        <w:ind w:firstLine="480" w:firstLineChars="200"/>
        <w:rPr>
          <w:rFonts w:ascii="仿宋" w:hAnsi="仿宋" w:eastAsia="仿宋" w:cs="仿宋"/>
          <w:sz w:val="24"/>
        </w:rPr>
      </w:pPr>
      <w:r>
        <w:rPr>
          <w:rFonts w:hint="eastAsia" w:ascii="仿宋" w:hAnsi="仿宋" w:eastAsia="仿宋" w:cs="仿宋"/>
          <w:sz w:val="24"/>
        </w:rPr>
        <w:t>（报价文件必须严格按照以下顺序装订好，并加盖公章或合同章，正本一份，副本一份</w:t>
      </w:r>
      <w:r>
        <w:rPr>
          <w:rFonts w:hint="eastAsia" w:ascii="仿宋" w:hAnsi="仿宋" w:eastAsia="仿宋" w:cs="仿宋"/>
          <w:sz w:val="24"/>
          <w:lang w:eastAsia="zh-CN"/>
        </w:rPr>
        <w:t>，</w:t>
      </w:r>
      <w:r>
        <w:rPr>
          <w:rFonts w:hint="eastAsia" w:ascii="仿宋" w:hAnsi="仿宋" w:eastAsia="仿宋" w:cs="仿宋"/>
          <w:sz w:val="24"/>
          <w:lang w:val="en-US" w:eastAsia="zh-CN"/>
        </w:rPr>
        <w:t>电子版一份。</w:t>
      </w:r>
      <w:r>
        <w:rPr>
          <w:rFonts w:hint="eastAsia" w:ascii="仿宋" w:hAnsi="仿宋" w:eastAsia="仿宋" w:cs="仿宋"/>
          <w:sz w:val="24"/>
        </w:rPr>
        <w:t>）</w:t>
      </w:r>
    </w:p>
    <w:p>
      <w:pPr>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rPr>
        <w:t>1.文件构成目录（须标明页码）；</w:t>
      </w:r>
    </w:p>
    <w:p>
      <w:pPr>
        <w:spacing w:line="360" w:lineRule="auto"/>
        <w:ind w:firstLine="480" w:firstLineChars="200"/>
        <w:rPr>
          <w:rFonts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.贵公司简介，包括公司基本情况介绍、营业服务范围、团队介绍等；</w:t>
      </w:r>
    </w:p>
    <w:p>
      <w:pPr>
        <w:spacing w:line="360" w:lineRule="auto"/>
        <w:ind w:firstLine="480" w:firstLineChars="200"/>
        <w:rPr>
          <w:rFonts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.加盖公章的企业资质材料复印件，包括经最新年检的企业营业执照（已实行多证合一的，无需另行提供税务登记证、组织机构代码证）等；</w:t>
      </w:r>
    </w:p>
    <w:p>
      <w:pPr>
        <w:spacing w:line="360" w:lineRule="auto"/>
        <w:ind w:firstLine="480" w:firstLineChars="200"/>
        <w:rPr>
          <w:rFonts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.加盖公章的</w:t>
      </w:r>
      <w:r>
        <w:rPr>
          <w:rFonts w:hint="eastAsia" w:ascii="仿宋" w:hAnsi="仿宋" w:eastAsia="仿宋" w:cs="仿宋"/>
          <w:sz w:val="24"/>
          <w:lang w:val="en-US" w:eastAsia="zh-CN"/>
        </w:rPr>
        <w:t>公司、服务人员</w:t>
      </w:r>
      <w:r>
        <w:rPr>
          <w:rFonts w:hint="eastAsia" w:ascii="仿宋" w:hAnsi="仿宋" w:eastAsia="仿宋" w:cs="仿宋"/>
          <w:sz w:val="24"/>
        </w:rPr>
        <w:t>技术资质材料复印件，包括能证明自己技术能力的资质证书、认证证书</w:t>
      </w:r>
      <w:r>
        <w:rPr>
          <w:rFonts w:hint="eastAsia" w:ascii="仿宋" w:hAnsi="仿宋" w:eastAsia="仿宋" w:cs="仿宋"/>
          <w:sz w:val="24"/>
          <w:lang w:eastAsia="zh-CN"/>
        </w:rPr>
        <w:t>、</w:t>
      </w:r>
      <w:r>
        <w:rPr>
          <w:rFonts w:hint="eastAsia" w:ascii="仿宋" w:hAnsi="仿宋" w:eastAsia="仿宋" w:cs="仿宋"/>
          <w:sz w:val="24"/>
          <w:lang w:val="en-US" w:eastAsia="zh-CN"/>
        </w:rPr>
        <w:t>人员简历</w:t>
      </w:r>
      <w:r>
        <w:rPr>
          <w:rFonts w:hint="eastAsia" w:ascii="仿宋" w:hAnsi="仿宋" w:eastAsia="仿宋" w:cs="仿宋"/>
          <w:sz w:val="24"/>
        </w:rPr>
        <w:t>等</w:t>
      </w:r>
      <w:r>
        <w:rPr>
          <w:rFonts w:hint="eastAsia" w:ascii="仿宋" w:hAnsi="仿宋" w:eastAsia="仿宋" w:cs="仿宋"/>
          <w:sz w:val="24"/>
          <w:lang w:eastAsia="zh-CN"/>
        </w:rPr>
        <w:t>，</w:t>
      </w:r>
      <w:r>
        <w:rPr>
          <w:rFonts w:hint="eastAsia" w:ascii="仿宋" w:hAnsi="仿宋" w:eastAsia="仿宋" w:cs="仿宋"/>
          <w:sz w:val="24"/>
          <w:lang w:val="en-US" w:eastAsia="zh-CN"/>
        </w:rPr>
        <w:t>近五年有金融行业软件开发的项目</w:t>
      </w:r>
      <w:bookmarkStart w:id="0" w:name="_GoBack"/>
      <w:bookmarkEnd w:id="0"/>
      <w:r>
        <w:rPr>
          <w:rFonts w:hint="eastAsia" w:ascii="仿宋" w:hAnsi="仿宋" w:eastAsia="仿宋" w:cs="仿宋"/>
          <w:sz w:val="24"/>
          <w:lang w:val="en-US" w:eastAsia="zh-CN"/>
        </w:rPr>
        <w:t>，也请提供证明材料（如有）</w:t>
      </w:r>
      <w:r>
        <w:rPr>
          <w:rFonts w:hint="eastAsia" w:ascii="仿宋" w:hAnsi="仿宋" w:eastAsia="仿宋" w:cs="仿宋"/>
          <w:sz w:val="24"/>
        </w:rPr>
        <w:t>；</w:t>
      </w:r>
    </w:p>
    <w:p>
      <w:pPr>
        <w:spacing w:line="360" w:lineRule="auto"/>
        <w:ind w:firstLine="480" w:firstLineChars="200"/>
        <w:rPr>
          <w:rFonts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.能证明自己信誉、管理水平的</w:t>
      </w:r>
      <w:r>
        <w:rPr>
          <w:rFonts w:hint="eastAsia" w:ascii="仿宋" w:hAnsi="仿宋" w:eastAsia="仿宋" w:cs="仿宋"/>
          <w:sz w:val="24"/>
          <w:lang w:val="en-US" w:eastAsia="zh-CN"/>
        </w:rPr>
        <w:t>其他</w:t>
      </w:r>
      <w:r>
        <w:rPr>
          <w:rFonts w:hint="eastAsia" w:ascii="仿宋" w:hAnsi="仿宋" w:eastAsia="仿宋" w:cs="仿宋"/>
          <w:sz w:val="24"/>
        </w:rPr>
        <w:t>证明文件；</w:t>
      </w:r>
    </w:p>
    <w:p>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6</w:t>
      </w:r>
      <w:r>
        <w:rPr>
          <w:rFonts w:hint="eastAsia" w:ascii="仿宋" w:hAnsi="仿宋" w:eastAsia="仿宋" w:cs="仿宋"/>
          <w:sz w:val="24"/>
        </w:rPr>
        <w:t>.项目实施及售后服务</w:t>
      </w:r>
      <w:r>
        <w:rPr>
          <w:rFonts w:hint="eastAsia" w:ascii="仿宋" w:hAnsi="仿宋" w:eastAsia="仿宋" w:cs="仿宋"/>
          <w:sz w:val="24"/>
          <w:lang w:val="en-US" w:eastAsia="zh-CN"/>
        </w:rPr>
        <w:t>方案；</w:t>
      </w:r>
    </w:p>
    <w:p>
      <w:pPr>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lang w:val="en-US" w:eastAsia="zh-CN"/>
        </w:rPr>
        <w:t>7</w:t>
      </w:r>
      <w:r>
        <w:rPr>
          <w:rFonts w:hint="eastAsia" w:ascii="仿宋" w:hAnsi="仿宋" w:eastAsia="仿宋" w:cs="仿宋"/>
          <w:sz w:val="24"/>
        </w:rPr>
        <w:t>.项目报价单（根据附表1填写；</w:t>
      </w:r>
      <w:r>
        <w:rPr>
          <w:rFonts w:hint="eastAsia" w:ascii="仿宋" w:hAnsi="仿宋" w:eastAsia="仿宋" w:cs="仿宋"/>
          <w:b/>
          <w:bCs/>
          <w:sz w:val="24"/>
        </w:rPr>
        <w:t>授权代表须手写签字，并加盖公章，否则视为无效投标文件</w:t>
      </w:r>
      <w:r>
        <w:rPr>
          <w:rFonts w:hint="eastAsia" w:ascii="仿宋" w:hAnsi="仿宋" w:eastAsia="仿宋" w:cs="仿宋"/>
          <w:sz w:val="24"/>
        </w:rPr>
        <w:t>）</w:t>
      </w:r>
      <w:r>
        <w:rPr>
          <w:rFonts w:hint="eastAsia" w:ascii="仿宋" w:hAnsi="仿宋" w:eastAsia="仿宋" w:cs="仿宋"/>
          <w:sz w:val="24"/>
          <w:lang w:eastAsia="zh-CN"/>
        </w:rPr>
        <w:t>。</w:t>
      </w:r>
    </w:p>
    <w:p>
      <w:pPr>
        <w:spacing w:line="360" w:lineRule="auto"/>
        <w:ind w:firstLine="480" w:firstLineChars="200"/>
        <w:rPr>
          <w:rFonts w:hint="default" w:ascii="仿宋" w:hAnsi="仿宋" w:eastAsia="仿宋" w:cs="仿宋"/>
          <w:sz w:val="24"/>
          <w:lang w:val="en-US" w:eastAsia="zh-CN"/>
        </w:rPr>
      </w:pPr>
      <w:r>
        <w:rPr>
          <w:rFonts w:hint="eastAsia" w:ascii="仿宋" w:hAnsi="仿宋" w:eastAsia="仿宋" w:cs="仿宋"/>
          <w:sz w:val="24"/>
          <w:lang w:val="en-US" w:eastAsia="zh-CN"/>
        </w:rPr>
        <w:t>8.供应商声明（</w:t>
      </w:r>
      <w:r>
        <w:rPr>
          <w:rFonts w:hint="eastAsia" w:ascii="仿宋" w:hAnsi="仿宋" w:eastAsia="仿宋" w:cs="仿宋"/>
          <w:sz w:val="24"/>
        </w:rPr>
        <w:t>根据附</w:t>
      </w:r>
      <w:r>
        <w:rPr>
          <w:rFonts w:hint="eastAsia" w:ascii="仿宋" w:hAnsi="仿宋" w:eastAsia="仿宋" w:cs="仿宋"/>
          <w:sz w:val="24"/>
          <w:lang w:val="en-US" w:eastAsia="zh-CN"/>
        </w:rPr>
        <w:t>件2</w:t>
      </w:r>
      <w:r>
        <w:rPr>
          <w:rFonts w:hint="eastAsia" w:ascii="仿宋" w:hAnsi="仿宋" w:eastAsia="仿宋" w:cs="仿宋"/>
          <w:sz w:val="24"/>
        </w:rPr>
        <w:t>填写；</w:t>
      </w:r>
      <w:r>
        <w:rPr>
          <w:rFonts w:hint="eastAsia" w:ascii="仿宋" w:hAnsi="仿宋" w:eastAsia="仿宋" w:cs="仿宋"/>
          <w:b/>
          <w:bCs/>
          <w:sz w:val="24"/>
        </w:rPr>
        <w:t>授权代表须手写签字，并加盖公章，否则视为无效投标文件</w:t>
      </w:r>
      <w:r>
        <w:rPr>
          <w:rFonts w:hint="eastAsia" w:ascii="仿宋" w:hAnsi="仿宋" w:eastAsia="仿宋" w:cs="仿宋"/>
          <w:sz w:val="24"/>
          <w:lang w:val="en-US" w:eastAsia="zh-CN"/>
        </w:rPr>
        <w:t>）</w:t>
      </w:r>
    </w:p>
    <w:p>
      <w:pPr>
        <w:numPr>
          <w:ilvl w:val="0"/>
          <w:numId w:val="2"/>
        </w:numPr>
        <w:spacing w:line="360" w:lineRule="auto"/>
        <w:ind w:firstLine="472" w:firstLineChars="196"/>
        <w:outlineLvl w:val="0"/>
        <w:rPr>
          <w:rFonts w:ascii="黑体" w:hAnsi="黑体" w:eastAsia="黑体" w:cs="黑体"/>
          <w:b/>
          <w:sz w:val="24"/>
        </w:rPr>
      </w:pPr>
      <w:r>
        <w:rPr>
          <w:rFonts w:hint="eastAsia" w:ascii="黑体" w:hAnsi="黑体" w:eastAsia="黑体" w:cs="黑体"/>
          <w:b/>
          <w:sz w:val="24"/>
        </w:rPr>
        <w:t>特别提示</w:t>
      </w:r>
    </w:p>
    <w:p>
      <w:pPr>
        <w:widowControl/>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1.请您将</w:t>
      </w:r>
      <w:r>
        <w:rPr>
          <w:rFonts w:hint="eastAsia" w:ascii="仿宋" w:hAnsi="仿宋" w:eastAsia="仿宋" w:cs="仿宋"/>
          <w:bCs/>
          <w:sz w:val="24"/>
          <w:lang w:val="en-US" w:eastAsia="zh-CN"/>
        </w:rPr>
        <w:t>本项目涉及的其他</w:t>
      </w:r>
      <w:r>
        <w:rPr>
          <w:rFonts w:hint="eastAsia" w:ascii="仿宋" w:hAnsi="仿宋" w:eastAsia="仿宋" w:cs="仿宋"/>
          <w:bCs/>
          <w:sz w:val="24"/>
        </w:rPr>
        <w:t>服务所需的费用（如果有）全部计入总报价中，不得单独列出，否则会造成我司无法进行评议，按无效报价处理；</w:t>
      </w:r>
    </w:p>
    <w:p>
      <w:pPr>
        <w:widowControl/>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2.《报价单》须按照规定格式填报，不得修改，擅自修改格式或漏项、缺项的，按无效报价处理；</w:t>
      </w:r>
    </w:p>
    <w:p>
      <w:pPr>
        <w:widowControl/>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3.报价文件需盖章（公章或合同红章）并经授权代表签字后，方可生效</w:t>
      </w:r>
      <w:r>
        <w:rPr>
          <w:rFonts w:hint="eastAsia" w:ascii="仿宋" w:hAnsi="仿宋" w:eastAsia="仿宋" w:cs="仿宋"/>
          <w:bCs/>
          <w:sz w:val="24"/>
          <w:lang w:eastAsia="zh-CN"/>
        </w:rPr>
        <w:t>，</w:t>
      </w:r>
      <w:r>
        <w:rPr>
          <w:rFonts w:hint="eastAsia" w:ascii="仿宋" w:hAnsi="仿宋" w:eastAsia="仿宋" w:cs="仿宋"/>
          <w:bCs/>
          <w:sz w:val="24"/>
        </w:rPr>
        <w:t>由授权代表签字的，应同时提交法定代表人身份证明书及授权委托书原件；</w:t>
      </w:r>
    </w:p>
    <w:p>
      <w:pPr>
        <w:widowControl/>
        <w:spacing w:line="360" w:lineRule="auto"/>
        <w:ind w:firstLine="480" w:firstLineChars="200"/>
        <w:jc w:val="left"/>
        <w:rPr>
          <w:rFonts w:ascii="仿宋" w:hAnsi="仿宋" w:eastAsia="仿宋" w:cs="仿宋"/>
          <w:bCs/>
          <w:sz w:val="24"/>
        </w:rPr>
      </w:pPr>
      <w:r>
        <w:rPr>
          <w:rFonts w:hint="eastAsia" w:ascii="仿宋" w:hAnsi="仿宋" w:eastAsia="仿宋" w:cs="仿宋"/>
          <w:bCs/>
          <w:sz w:val="24"/>
          <w:lang w:val="en-US" w:eastAsia="zh-CN"/>
        </w:rPr>
        <w:t>4</w:t>
      </w:r>
      <w:r>
        <w:rPr>
          <w:rFonts w:hint="eastAsia" w:ascii="仿宋" w:hAnsi="仿宋" w:eastAsia="仿宋" w:cs="仿宋"/>
          <w:bCs/>
          <w:sz w:val="24"/>
        </w:rPr>
        <w:t>.报价文件报送超过规定时间，我公司将不予受理；</w:t>
      </w:r>
    </w:p>
    <w:p>
      <w:pPr>
        <w:widowControl/>
        <w:spacing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bCs/>
          <w:sz w:val="24"/>
          <w:lang w:val="en-US" w:eastAsia="zh-CN"/>
        </w:rPr>
        <w:t>5</w:t>
      </w:r>
      <w:r>
        <w:rPr>
          <w:rFonts w:hint="eastAsia" w:ascii="仿宋" w:hAnsi="仿宋" w:eastAsia="仿宋" w:cs="仿宋"/>
          <w:bCs/>
          <w:sz w:val="24"/>
        </w:rPr>
        <w:t>.贵公司提交的报价文件务必装订成册并加盖骑缝章</w:t>
      </w:r>
      <w:r>
        <w:rPr>
          <w:rFonts w:hint="eastAsia" w:ascii="仿宋" w:hAnsi="仿宋" w:eastAsia="仿宋" w:cs="仿宋"/>
          <w:bCs/>
          <w:sz w:val="24"/>
          <w:lang w:eastAsia="zh-CN"/>
        </w:rPr>
        <w:t>；</w:t>
      </w:r>
    </w:p>
    <w:p>
      <w:pPr>
        <w:spacing w:line="360" w:lineRule="auto"/>
        <w:ind w:firstLine="480" w:firstLineChars="200"/>
        <w:rPr>
          <w:rFonts w:hint="eastAsia" w:ascii="仿宋" w:hAnsi="仿宋" w:eastAsia="仿宋" w:cs="仿宋"/>
          <w:sz w:val="24"/>
          <w:lang w:eastAsia="zh-CN"/>
        </w:rPr>
      </w:pPr>
      <w:r>
        <w:rPr>
          <w:rFonts w:hint="eastAsia" w:ascii="仿宋" w:hAnsi="仿宋" w:eastAsia="仿宋" w:cs="仿宋"/>
          <w:sz w:val="24"/>
          <w:lang w:val="en-US" w:eastAsia="zh-CN"/>
        </w:rPr>
        <w:t>6.</w:t>
      </w:r>
      <w:r>
        <w:rPr>
          <w:rFonts w:hint="eastAsia" w:ascii="仿宋" w:hAnsi="仿宋" w:eastAsia="仿宋" w:cs="仿宋"/>
          <w:sz w:val="24"/>
        </w:rPr>
        <w:t>供应商在报价文件上提供的报价将作为本项目采购合同的成交价格的重要依据，请审慎报价</w:t>
      </w:r>
      <w:r>
        <w:rPr>
          <w:rFonts w:hint="eastAsia" w:ascii="仿宋" w:hAnsi="仿宋" w:eastAsia="仿宋" w:cs="仿宋"/>
          <w:sz w:val="24"/>
          <w:lang w:eastAsia="zh-CN"/>
        </w:rPr>
        <w:t>；</w:t>
      </w:r>
    </w:p>
    <w:p>
      <w:pPr>
        <w:widowControl/>
        <w:spacing w:line="360" w:lineRule="auto"/>
        <w:ind w:firstLine="480" w:firstLineChars="200"/>
        <w:jc w:val="left"/>
        <w:rPr>
          <w:rFonts w:hint="eastAsia" w:ascii="仿宋" w:hAnsi="仿宋" w:eastAsia="仿宋" w:cs="仿宋"/>
          <w:bCs/>
          <w:sz w:val="24"/>
          <w:lang w:eastAsia="zh-CN"/>
        </w:rPr>
      </w:pPr>
      <w:r>
        <w:rPr>
          <w:rFonts w:hint="eastAsia" w:ascii="仿宋" w:hAnsi="仿宋" w:eastAsia="仿宋" w:cs="仿宋"/>
          <w:sz w:val="24"/>
          <w:lang w:val="en-US" w:eastAsia="zh-CN"/>
        </w:rPr>
        <w:t>7.我司按公司采购流程进行供应商选择，未入围或中标的供应商不另行通知，对未入围或未中标的原因不给予说明；</w:t>
      </w:r>
    </w:p>
    <w:p>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lang w:val="en-US" w:eastAsia="zh-CN"/>
        </w:rPr>
        <w:t>8</w:t>
      </w:r>
      <w:r>
        <w:rPr>
          <w:rFonts w:hint="eastAsia" w:ascii="仿宋" w:hAnsi="仿宋" w:eastAsia="仿宋" w:cs="仿宋"/>
          <w:bCs/>
          <w:sz w:val="24"/>
        </w:rPr>
        <w:t>.对于贵公司提供的资料，本公司予以保密，但概不退还。</w:t>
      </w:r>
    </w:p>
    <w:p>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9.参与竞价单位一旦成功中标，须保障太安农险和最终用户在使用其货物、服务及其任何部分不受到第三方关于侵犯专利权、著作权、商标权、商业秘密或其他知识产权的指控。任何第三方如果提出相关指控，参与竞价</w:t>
      </w:r>
      <w:r>
        <w:rPr>
          <w:rFonts w:hint="eastAsia" w:ascii="仿宋" w:hAnsi="仿宋" w:eastAsia="仿宋" w:cs="仿宋"/>
          <w:bCs/>
          <w:sz w:val="24"/>
          <w:lang w:val="en-US" w:eastAsia="zh-CN"/>
        </w:rPr>
        <w:t>企业</w:t>
      </w:r>
      <w:r>
        <w:rPr>
          <w:rFonts w:hint="eastAsia" w:ascii="仿宋" w:hAnsi="仿宋" w:eastAsia="仿宋" w:cs="仿宋"/>
          <w:bCs/>
          <w:sz w:val="24"/>
        </w:rPr>
        <w:t>须与第三方交涉并承担由此而引起的一切法律责任和费用。</w:t>
      </w:r>
    </w:p>
    <w:p>
      <w:pPr>
        <w:spacing w:line="360" w:lineRule="auto"/>
        <w:ind w:firstLine="420" w:firstLineChars="0"/>
        <w:rPr>
          <w:rFonts w:hint="eastAsia" w:ascii="仿宋" w:hAnsi="仿宋" w:eastAsia="仿宋" w:cs="仿宋"/>
          <w:bCs/>
          <w:sz w:val="24"/>
          <w:highlight w:val="none"/>
        </w:rPr>
      </w:pPr>
      <w:r>
        <w:rPr>
          <w:rFonts w:hint="eastAsia" w:ascii="仿宋" w:hAnsi="仿宋" w:eastAsia="仿宋" w:cs="仿宋"/>
          <w:bCs/>
          <w:sz w:val="24"/>
        </w:rPr>
        <w:t>10.参与竞价单位对竞价文件如有疑点，可要求澄清，以书面形式（加盖公章的PDF版和可编辑的Word版</w:t>
      </w:r>
      <w:r>
        <w:rPr>
          <w:rFonts w:hint="eastAsia" w:ascii="仿宋" w:hAnsi="仿宋" w:eastAsia="仿宋" w:cs="仿宋"/>
          <w:bCs/>
          <w:sz w:val="24"/>
          <w:highlight w:val="none"/>
        </w:rPr>
        <w:t>）</w:t>
      </w:r>
      <w:r>
        <w:rPr>
          <w:rFonts w:hint="eastAsia" w:ascii="仿宋" w:hAnsi="仿宋" w:eastAsia="仿宋" w:cs="仿宋"/>
          <w:bCs/>
          <w:sz w:val="24"/>
          <w:highlight w:val="none"/>
        </w:rPr>
        <w:t>在</w:t>
      </w:r>
      <w:r>
        <w:rPr>
          <w:rFonts w:hint="eastAsia" w:ascii="仿宋" w:hAnsi="仿宋" w:eastAsia="仿宋" w:cs="仿宋"/>
          <w:bCs/>
          <w:sz w:val="24"/>
          <w:highlight w:val="none"/>
        </w:rPr>
        <w:t>202</w:t>
      </w:r>
      <w:r>
        <w:rPr>
          <w:rFonts w:hint="eastAsia" w:ascii="仿宋" w:hAnsi="仿宋" w:eastAsia="仿宋" w:cs="仿宋"/>
          <w:bCs/>
          <w:sz w:val="24"/>
          <w:highlight w:val="none"/>
          <w:lang w:val="en-US" w:eastAsia="zh-CN"/>
        </w:rPr>
        <w:t>6</w:t>
      </w:r>
      <w:r>
        <w:rPr>
          <w:rFonts w:hint="eastAsia" w:ascii="仿宋" w:hAnsi="仿宋" w:eastAsia="仿宋" w:cs="仿宋"/>
          <w:bCs/>
          <w:sz w:val="24"/>
          <w:highlight w:val="none"/>
        </w:rPr>
        <w:t>年</w:t>
      </w:r>
      <w:r>
        <w:rPr>
          <w:rFonts w:hint="eastAsia" w:ascii="仿宋" w:hAnsi="仿宋" w:eastAsia="仿宋" w:cs="仿宋"/>
          <w:bCs/>
          <w:sz w:val="24"/>
          <w:highlight w:val="none"/>
          <w:lang w:val="en-US" w:eastAsia="zh-CN"/>
        </w:rPr>
        <w:t>11</w:t>
      </w:r>
      <w:r>
        <w:rPr>
          <w:rFonts w:hint="eastAsia" w:ascii="仿宋" w:hAnsi="仿宋" w:eastAsia="仿宋" w:cs="仿宋"/>
          <w:bCs/>
          <w:sz w:val="24"/>
          <w:highlight w:val="none"/>
        </w:rPr>
        <w:t>月</w:t>
      </w:r>
      <w:r>
        <w:rPr>
          <w:rFonts w:hint="eastAsia" w:ascii="仿宋" w:hAnsi="仿宋" w:eastAsia="仿宋" w:cs="仿宋"/>
          <w:bCs/>
          <w:sz w:val="24"/>
          <w:highlight w:val="none"/>
          <w:lang w:val="en-US" w:eastAsia="zh-CN"/>
        </w:rPr>
        <w:t>6</w:t>
      </w:r>
      <w:r>
        <w:rPr>
          <w:rFonts w:hint="eastAsia" w:ascii="仿宋" w:hAnsi="仿宋" w:eastAsia="仿宋" w:cs="仿宋"/>
          <w:bCs/>
          <w:sz w:val="24"/>
          <w:highlight w:val="none"/>
        </w:rPr>
        <w:t>日</w:t>
      </w:r>
      <w:r>
        <w:rPr>
          <w:rFonts w:hint="eastAsia" w:ascii="仿宋" w:hAnsi="仿宋" w:eastAsia="仿宋" w:cs="仿宋"/>
          <w:bCs/>
          <w:sz w:val="24"/>
          <w:highlight w:val="none"/>
          <w:lang w:val="en-US" w:eastAsia="zh-CN"/>
        </w:rPr>
        <w:t>下</w:t>
      </w:r>
      <w:r>
        <w:rPr>
          <w:rFonts w:hint="eastAsia" w:ascii="仿宋" w:hAnsi="仿宋" w:eastAsia="仿宋" w:cs="仿宋"/>
          <w:bCs/>
          <w:sz w:val="24"/>
          <w:highlight w:val="none"/>
        </w:rPr>
        <w:t>午</w:t>
      </w:r>
      <w:r>
        <w:rPr>
          <w:rFonts w:hint="eastAsia" w:ascii="仿宋" w:hAnsi="仿宋" w:eastAsia="仿宋" w:cs="仿宋"/>
          <w:bCs/>
          <w:sz w:val="24"/>
          <w:highlight w:val="none"/>
          <w:lang w:val="en-US" w:eastAsia="zh-CN"/>
        </w:rPr>
        <w:t>17</w:t>
      </w:r>
      <w:r>
        <w:rPr>
          <w:rFonts w:hint="eastAsia" w:ascii="仿宋" w:hAnsi="仿宋" w:eastAsia="仿宋" w:cs="仿宋"/>
          <w:bCs/>
          <w:sz w:val="24"/>
          <w:highlight w:val="none"/>
        </w:rPr>
        <w:t>：00</w:t>
      </w:r>
      <w:r>
        <w:rPr>
          <w:rFonts w:hint="eastAsia" w:ascii="仿宋" w:hAnsi="仿宋" w:eastAsia="仿宋" w:cs="仿宋"/>
          <w:bCs/>
          <w:sz w:val="24"/>
          <w:highlight w:val="none"/>
        </w:rPr>
        <w:t>之前发送邮件至：</w:t>
      </w:r>
      <w:r>
        <w:rPr>
          <w:rFonts w:hint="eastAsia" w:ascii="仿宋" w:hAnsi="仿宋" w:eastAsia="仿宋" w:cs="仿宋"/>
          <w:bCs/>
          <w:sz w:val="24"/>
          <w:highlight w:val="none"/>
          <w:lang w:val="en-US" w:eastAsia="zh-CN"/>
        </w:rPr>
        <w:t>zhangxing-042</w:t>
      </w:r>
      <w:r>
        <w:rPr>
          <w:rFonts w:hint="eastAsia" w:ascii="仿宋" w:hAnsi="仿宋" w:eastAsia="仿宋" w:cs="仿宋"/>
          <w:bCs/>
          <w:sz w:val="24"/>
          <w:highlight w:val="none"/>
        </w:rPr>
        <w:t>@cpic.com.cn。我司将视情况确定采用适当方式予以澄清或以书面形式予以答复，并在其认为必要时，将不标明查询来源的书面答复发给每一参与竞价单位。参与竞价单位在收到答复后应尽快以书面形式予以确认。</w:t>
      </w:r>
    </w:p>
    <w:p>
      <w:pPr>
        <w:numPr>
          <w:ilvl w:val="0"/>
          <w:numId w:val="2"/>
        </w:numPr>
        <w:spacing w:line="360" w:lineRule="auto"/>
        <w:ind w:firstLine="472" w:firstLineChars="196"/>
        <w:outlineLvl w:val="0"/>
        <w:rPr>
          <w:rFonts w:hint="eastAsia" w:ascii="黑体" w:hAnsi="黑体" w:eastAsia="黑体" w:cs="黑体"/>
          <w:b/>
          <w:sz w:val="24"/>
          <w:highlight w:val="none"/>
        </w:rPr>
      </w:pPr>
      <w:r>
        <w:rPr>
          <w:rFonts w:hint="eastAsia" w:ascii="黑体" w:hAnsi="黑体" w:eastAsia="黑体" w:cs="黑体"/>
          <w:b/>
          <w:sz w:val="24"/>
          <w:highlight w:val="none"/>
        </w:rPr>
        <w:t>递交竞价文件期限及地点：</w:t>
      </w:r>
    </w:p>
    <w:p>
      <w:pPr>
        <w:spacing w:line="360" w:lineRule="auto"/>
        <w:ind w:firstLine="480" w:firstLineChars="200"/>
        <w:rPr>
          <w:rFonts w:hint="default"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1.</w:t>
      </w:r>
      <w:r>
        <w:rPr>
          <w:rFonts w:hint="eastAsia" w:ascii="仿宋" w:hAnsi="仿宋" w:eastAsia="仿宋" w:cs="仿宋"/>
          <w:bCs/>
          <w:sz w:val="24"/>
          <w:highlight w:val="none"/>
        </w:rPr>
        <w:t>时间：</w:t>
      </w:r>
      <w:r>
        <w:rPr>
          <w:rFonts w:hint="eastAsia" w:ascii="仿宋" w:hAnsi="仿宋" w:eastAsia="仿宋" w:cs="仿宋"/>
          <w:bCs/>
          <w:sz w:val="24"/>
          <w:highlight w:val="none"/>
          <w:lang w:val="en-US" w:eastAsia="zh-CN"/>
        </w:rPr>
        <w:t>2026年11月3日9:00起至11月9日17:00止</w:t>
      </w:r>
    </w:p>
    <w:p>
      <w:pPr>
        <w:spacing w:line="360" w:lineRule="auto"/>
        <w:ind w:firstLine="480" w:firstLineChars="200"/>
        <w:rPr>
          <w:rFonts w:hint="default" w:ascii="仿宋" w:hAnsi="仿宋" w:eastAsia="仿宋" w:cs="仿宋"/>
          <w:bCs/>
          <w:sz w:val="24"/>
          <w:lang w:val="en-US" w:eastAsia="zh-CN"/>
        </w:rPr>
      </w:pPr>
      <w:r>
        <w:rPr>
          <w:rFonts w:hint="eastAsia" w:ascii="仿宋" w:hAnsi="仿宋" w:eastAsia="仿宋" w:cs="仿宋"/>
          <w:bCs/>
          <w:sz w:val="24"/>
          <w:lang w:val="en-US" w:eastAsia="zh-CN"/>
        </w:rPr>
        <w:t>2.地址：</w:t>
      </w:r>
      <w:r>
        <w:rPr>
          <w:rFonts w:hint="eastAsia" w:ascii="仿宋" w:hAnsi="仿宋" w:eastAsia="仿宋" w:cs="仿宋"/>
          <w:bCs/>
          <w:sz w:val="24"/>
        </w:rPr>
        <w:t>上海市静安区共和新路3651号农保大厦</w:t>
      </w:r>
    </w:p>
    <w:p>
      <w:pPr>
        <w:spacing w:line="360" w:lineRule="auto"/>
        <w:ind w:firstLine="480" w:firstLineChars="200"/>
        <w:rPr>
          <w:rFonts w:hint="default" w:ascii="仿宋" w:hAnsi="仿宋" w:eastAsia="仿宋" w:cs="仿宋"/>
          <w:bCs/>
          <w:sz w:val="24"/>
          <w:lang w:val="en-US" w:eastAsia="zh-CN"/>
        </w:rPr>
      </w:pPr>
      <w:r>
        <w:rPr>
          <w:rFonts w:hint="eastAsia" w:ascii="仿宋" w:hAnsi="仿宋" w:eastAsia="仿宋" w:cs="仿宋"/>
          <w:bCs/>
          <w:sz w:val="24"/>
          <w:lang w:val="en-US" w:eastAsia="zh-CN"/>
        </w:rPr>
        <w:t>3.联系人：张杏</w:t>
      </w:r>
    </w:p>
    <w:p>
      <w:pPr>
        <w:spacing w:line="360" w:lineRule="auto"/>
        <w:ind w:firstLine="480" w:firstLineChars="200"/>
        <w:rPr>
          <w:rFonts w:hint="default" w:ascii="仿宋" w:hAnsi="仿宋" w:eastAsia="仿宋" w:cs="仿宋"/>
          <w:bCs/>
          <w:sz w:val="24"/>
          <w:lang w:val="en-US" w:eastAsia="zh-CN"/>
        </w:rPr>
      </w:pPr>
      <w:r>
        <w:rPr>
          <w:rFonts w:hint="eastAsia" w:ascii="仿宋" w:hAnsi="仿宋" w:eastAsia="仿宋" w:cs="仿宋"/>
          <w:bCs/>
          <w:sz w:val="24"/>
          <w:lang w:val="en-US" w:eastAsia="zh-CN"/>
        </w:rPr>
        <w:t>4.联系电话：021-66986715</w:t>
      </w:r>
    </w:p>
    <w:p>
      <w:pPr>
        <w:spacing w:line="360" w:lineRule="auto"/>
        <w:ind w:firstLine="480" w:firstLineChars="200"/>
        <w:rPr>
          <w:rFonts w:hint="eastAsia" w:ascii="仿宋" w:hAnsi="仿宋" w:eastAsia="仿宋" w:cs="仿宋"/>
          <w:bCs/>
          <w:sz w:val="24"/>
          <w:lang w:val="en-US" w:eastAsia="zh-CN"/>
        </w:rPr>
      </w:pPr>
      <w:r>
        <w:rPr>
          <w:rFonts w:hint="eastAsia" w:ascii="仿宋" w:hAnsi="仿宋" w:eastAsia="仿宋" w:cs="仿宋"/>
          <w:bCs/>
          <w:sz w:val="24"/>
          <w:lang w:val="en-US" w:eastAsia="zh-CN"/>
        </w:rPr>
        <w:t>5.联系人邮箱：</w:t>
      </w:r>
      <w:r>
        <w:rPr>
          <w:rFonts w:hint="eastAsia" w:ascii="仿宋" w:hAnsi="仿宋" w:eastAsia="仿宋" w:cs="仿宋"/>
          <w:bCs/>
          <w:sz w:val="24"/>
          <w:lang w:val="en-US" w:eastAsia="zh-CN"/>
        </w:rPr>
        <w:fldChar w:fldCharType="begin"/>
      </w:r>
      <w:r>
        <w:rPr>
          <w:rFonts w:hint="eastAsia" w:ascii="仿宋" w:hAnsi="仿宋" w:eastAsia="仿宋" w:cs="仿宋"/>
          <w:bCs/>
          <w:sz w:val="24"/>
          <w:lang w:val="en-US" w:eastAsia="zh-CN"/>
        </w:rPr>
        <w:instrText xml:space="preserve"> HYPERLINK "mailto:gaofeng-075@cpic.com.cn" </w:instrText>
      </w:r>
      <w:r>
        <w:rPr>
          <w:rFonts w:hint="eastAsia" w:ascii="仿宋" w:hAnsi="仿宋" w:eastAsia="仿宋" w:cs="仿宋"/>
          <w:bCs/>
          <w:sz w:val="24"/>
          <w:lang w:val="en-US" w:eastAsia="zh-CN"/>
        </w:rPr>
        <w:fldChar w:fldCharType="separate"/>
      </w:r>
      <w:r>
        <w:rPr>
          <w:rStyle w:val="15"/>
          <w:rFonts w:hint="eastAsia" w:ascii="仿宋" w:hAnsi="仿宋" w:eastAsia="仿宋" w:cs="仿宋"/>
          <w:bCs/>
          <w:sz w:val="24"/>
          <w:lang w:val="en-US" w:eastAsia="zh-CN"/>
        </w:rPr>
        <w:t>zhangxing-042@cpic.com.cn</w:t>
      </w:r>
      <w:r>
        <w:rPr>
          <w:rFonts w:hint="eastAsia" w:ascii="仿宋" w:hAnsi="仿宋" w:eastAsia="仿宋" w:cs="仿宋"/>
          <w:bCs/>
          <w:sz w:val="24"/>
          <w:lang w:val="en-US" w:eastAsia="zh-CN"/>
        </w:rPr>
        <w:fldChar w:fldCharType="end"/>
      </w:r>
    </w:p>
    <w:p>
      <w:pPr>
        <w:spacing w:line="360" w:lineRule="auto"/>
        <w:ind w:firstLine="480" w:firstLineChars="200"/>
        <w:rPr>
          <w:rFonts w:hint="eastAsia" w:ascii="仿宋" w:hAnsi="仿宋" w:eastAsia="仿宋" w:cs="仿宋"/>
          <w:bCs/>
          <w:sz w:val="24"/>
        </w:rPr>
      </w:pPr>
      <w:r>
        <w:rPr>
          <w:rFonts w:hint="eastAsia" w:ascii="仿宋" w:hAnsi="仿宋" w:eastAsia="仿宋" w:cs="仿宋"/>
          <w:bCs/>
          <w:sz w:val="24"/>
        </w:rPr>
        <w:t>此公告的最终解释权归太平洋安信农业保险股份有限公司所有。本公告未尽事宜，按照《中华人民共和国民法典》《中华人民共和国招标投标法》等法律法规及采购人采购管理制度执行；本公告内容与法律法规不一致的，以法律法规为准。</w:t>
      </w: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0" w:firstLineChars="200"/>
        <w:rPr>
          <w:rFonts w:hint="eastAsia" w:ascii="仿宋" w:hAnsi="仿宋" w:eastAsia="仿宋" w:cs="仿宋"/>
          <w:bCs/>
          <w:sz w:val="24"/>
        </w:rPr>
      </w:pPr>
    </w:p>
    <w:p>
      <w:pPr>
        <w:spacing w:line="360" w:lineRule="auto"/>
        <w:ind w:firstLine="482" w:firstLineChars="200"/>
        <w:rPr>
          <w:rFonts w:ascii="黑体" w:hAnsi="黑体" w:eastAsia="黑体" w:cs="黑体"/>
          <w:b/>
          <w:sz w:val="24"/>
        </w:rPr>
      </w:pPr>
      <w:r>
        <w:rPr>
          <w:rFonts w:hint="eastAsia" w:ascii="黑体" w:hAnsi="黑体" w:eastAsia="黑体" w:cs="黑体"/>
          <w:b/>
          <w:sz w:val="24"/>
        </w:rPr>
        <w:t>附表1（</w:t>
      </w:r>
      <w:r>
        <w:rPr>
          <w:rFonts w:hint="eastAsia" w:ascii="黑体" w:hAnsi="黑体" w:eastAsia="黑体" w:cs="黑体"/>
          <w:b/>
          <w:color w:val="FF0000"/>
          <w:sz w:val="24"/>
        </w:rPr>
        <w:t>须唯一且单独封装</w:t>
      </w:r>
      <w:r>
        <w:rPr>
          <w:rFonts w:hint="eastAsia" w:ascii="黑体" w:hAnsi="黑体" w:eastAsia="黑体" w:cs="黑体"/>
          <w:b/>
          <w:sz w:val="24"/>
        </w:rPr>
        <w:t>）</w:t>
      </w:r>
    </w:p>
    <w:p>
      <w:pPr>
        <w:spacing w:line="360" w:lineRule="auto"/>
        <w:ind w:firstLine="57"/>
        <w:jc w:val="center"/>
        <w:rPr>
          <w:rFonts w:hint="eastAsia" w:ascii="华文细黑" w:hAnsi="华文细黑" w:eastAsia="华文细黑"/>
          <w:b/>
          <w:bCs/>
          <w:sz w:val="28"/>
          <w:szCs w:val="28"/>
          <w:lang w:val="en-US" w:eastAsia="zh-CN"/>
        </w:rPr>
      </w:pPr>
      <w:r>
        <w:rPr>
          <w:rFonts w:hint="eastAsia" w:ascii="华文细黑" w:hAnsi="华文细黑" w:eastAsia="华文细黑"/>
          <w:b/>
          <w:bCs/>
          <w:sz w:val="28"/>
          <w:szCs w:val="28"/>
          <w:lang w:val="en-US" w:eastAsia="zh-CN"/>
        </w:rPr>
        <w:t>太平洋安信农业保险股份有限公司</w:t>
      </w:r>
    </w:p>
    <w:p>
      <w:pPr>
        <w:spacing w:line="360" w:lineRule="auto"/>
        <w:ind w:firstLine="57"/>
        <w:jc w:val="center"/>
        <w:rPr>
          <w:rFonts w:hint="eastAsia" w:ascii="华文细黑" w:hAnsi="华文细黑" w:eastAsia="华文细黑"/>
          <w:b/>
          <w:bCs/>
          <w:sz w:val="28"/>
          <w:szCs w:val="28"/>
          <w:lang w:val="en-US" w:eastAsia="zh-CN"/>
        </w:rPr>
      </w:pPr>
      <w:r>
        <w:rPr>
          <w:rFonts w:hint="eastAsia" w:ascii="华文细黑" w:hAnsi="华文细黑" w:eastAsia="华文细黑"/>
          <w:b/>
          <w:bCs/>
          <w:sz w:val="28"/>
          <w:szCs w:val="28"/>
          <w:lang w:val="en-US" w:eastAsia="zh-CN"/>
        </w:rPr>
        <w:t>意健险主附险拆分系统改造项目报价单</w:t>
      </w:r>
    </w:p>
    <w:p>
      <w:pPr>
        <w:spacing w:line="360" w:lineRule="auto"/>
        <w:rPr>
          <w:rFonts w:ascii="华文细黑" w:hAnsi="华文细黑" w:eastAsia="华文细黑"/>
          <w:szCs w:val="21"/>
          <w:u w:val="single"/>
        </w:rPr>
      </w:pPr>
      <w:r>
        <w:rPr>
          <w:rFonts w:ascii="华文细黑" w:hAnsi="华文细黑" w:eastAsia="华文细黑"/>
          <w:b/>
          <w:szCs w:val="21"/>
        </w:rPr>
        <w:t>报价人</w:t>
      </w:r>
      <w:r>
        <w:rPr>
          <w:rFonts w:ascii="华文细黑" w:hAnsi="华文细黑" w:eastAsia="华文细黑"/>
          <w:szCs w:val="21"/>
        </w:rPr>
        <w:t>:</w:t>
      </w:r>
      <w:r>
        <w:rPr>
          <w:rFonts w:ascii="华文细黑" w:hAnsi="华文细黑" w:eastAsia="华文细黑"/>
          <w:szCs w:val="21"/>
          <w:u w:val="single"/>
        </w:rPr>
        <w:t xml:space="preserve">                       </w:t>
      </w:r>
      <w:r>
        <w:rPr>
          <w:rFonts w:ascii="华文细黑" w:hAnsi="华文细黑" w:eastAsia="华文细黑"/>
          <w:szCs w:val="21"/>
        </w:rPr>
        <w:t>公司</w:t>
      </w:r>
    </w:p>
    <w:p>
      <w:pPr>
        <w:spacing w:line="360" w:lineRule="auto"/>
        <w:rPr>
          <w:rFonts w:ascii="华文细黑" w:hAnsi="华文细黑" w:eastAsia="华文细黑"/>
          <w:szCs w:val="21"/>
          <w:u w:val="single"/>
        </w:rPr>
      </w:pPr>
      <w:r>
        <w:rPr>
          <w:rFonts w:ascii="华文细黑" w:hAnsi="华文细黑" w:eastAsia="华文细黑"/>
          <w:b/>
          <w:szCs w:val="21"/>
        </w:rPr>
        <w:t xml:space="preserve">联系人: </w:t>
      </w:r>
      <w:r>
        <w:rPr>
          <w:rFonts w:ascii="华文细黑" w:hAnsi="华文细黑" w:eastAsia="华文细黑"/>
          <w:b/>
          <w:szCs w:val="21"/>
          <w:u w:val="single"/>
        </w:rPr>
        <w:t xml:space="preserve">                      </w:t>
      </w:r>
    </w:p>
    <w:p>
      <w:pPr>
        <w:spacing w:line="360" w:lineRule="auto"/>
        <w:rPr>
          <w:rFonts w:ascii="华文细黑" w:hAnsi="华文细黑" w:eastAsia="华文细黑"/>
          <w:szCs w:val="21"/>
          <w:u w:val="single"/>
        </w:rPr>
      </w:pPr>
      <w:r>
        <w:rPr>
          <w:rFonts w:ascii="华文细黑" w:hAnsi="华文细黑" w:eastAsia="华文细黑"/>
          <w:b/>
          <w:szCs w:val="21"/>
        </w:rPr>
        <w:t>联系电话</w:t>
      </w:r>
      <w:r>
        <w:rPr>
          <w:rFonts w:ascii="华文细黑" w:hAnsi="华文细黑" w:eastAsia="华文细黑"/>
          <w:szCs w:val="21"/>
        </w:rPr>
        <w:t>:</w:t>
      </w:r>
      <w:r>
        <w:rPr>
          <w:rFonts w:ascii="华文细黑" w:hAnsi="华文细黑" w:eastAsia="华文细黑"/>
          <w:szCs w:val="21"/>
          <w:u w:val="single"/>
        </w:rPr>
        <w:t xml:space="preserve">                       </w:t>
      </w:r>
    </w:p>
    <w:p>
      <w:pPr>
        <w:spacing w:line="700" w:lineRule="exact"/>
        <w:rPr>
          <w:rFonts w:ascii="华文细黑" w:hAnsi="华文细黑" w:eastAsia="华文细黑"/>
          <w:b/>
          <w:bCs/>
          <w:sz w:val="28"/>
          <w:szCs w:val="28"/>
        </w:rPr>
      </w:pPr>
      <w:r>
        <w:rPr>
          <w:rFonts w:ascii="华文细黑" w:hAnsi="华文细黑" w:eastAsia="华文细黑"/>
          <w:szCs w:val="21"/>
        </w:rPr>
        <w:t>回应贵公司的</w:t>
      </w:r>
      <w:r>
        <w:rPr>
          <w:rFonts w:hint="eastAsia" w:ascii="华文细黑" w:hAnsi="华文细黑" w:eastAsia="华文细黑"/>
          <w:szCs w:val="21"/>
          <w:lang w:val="en-US" w:eastAsia="zh-CN"/>
        </w:rPr>
        <w:t>竞价公告</w:t>
      </w:r>
      <w:r>
        <w:rPr>
          <w:rFonts w:ascii="华文细黑" w:hAnsi="华文细黑" w:eastAsia="华文细黑"/>
          <w:szCs w:val="21"/>
        </w:rPr>
        <w:t>，我公司报价如下：</w:t>
      </w:r>
    </w:p>
    <w:tbl>
      <w:tblPr>
        <w:tblStyle w:val="11"/>
        <w:tblW w:w="8852" w:type="dxa"/>
        <w:tblInd w:w="-118" w:type="dxa"/>
        <w:tblLayout w:type="fixed"/>
        <w:tblCellMar>
          <w:top w:w="0" w:type="dxa"/>
          <w:left w:w="108" w:type="dxa"/>
          <w:bottom w:w="0" w:type="dxa"/>
          <w:right w:w="108" w:type="dxa"/>
        </w:tblCellMar>
      </w:tblPr>
      <w:tblGrid>
        <w:gridCol w:w="1808"/>
        <w:gridCol w:w="1868"/>
        <w:gridCol w:w="925"/>
        <w:gridCol w:w="1875"/>
        <w:gridCol w:w="1116"/>
        <w:gridCol w:w="1260"/>
      </w:tblGrid>
      <w:tr>
        <w:tblPrEx>
          <w:tblLayout w:type="fixed"/>
          <w:tblCellMar>
            <w:top w:w="0" w:type="dxa"/>
            <w:left w:w="108" w:type="dxa"/>
            <w:bottom w:w="0" w:type="dxa"/>
            <w:right w:w="108" w:type="dxa"/>
          </w:tblCellMar>
        </w:tblPrEx>
        <w:trPr>
          <w:trHeight w:val="405" w:hRule="atLeast"/>
        </w:trPr>
        <w:tc>
          <w:tcPr>
            <w:tcW w:w="1808" w:type="dxa"/>
            <w:tcBorders>
              <w:top w:val="single" w:color="auto" w:sz="8" w:space="0"/>
              <w:left w:val="single" w:color="auto" w:sz="8" w:space="0"/>
              <w:bottom w:val="single" w:color="auto" w:sz="8" w:space="0"/>
              <w:right w:val="single" w:color="auto" w:sz="8" w:space="0"/>
            </w:tcBorders>
            <w:vAlign w:val="bottom"/>
          </w:tcPr>
          <w:p>
            <w:pPr>
              <w:widowControl/>
              <w:jc w:val="center"/>
              <w:rPr>
                <w:rFonts w:ascii="华文细黑" w:hAnsi="华文细黑" w:eastAsia="华文细黑" w:cs="宋体"/>
                <w:b/>
                <w:bCs/>
                <w:kern w:val="0"/>
                <w:sz w:val="24"/>
              </w:rPr>
            </w:pPr>
            <w:r>
              <w:rPr>
                <w:rFonts w:hint="eastAsia" w:ascii="华文细黑" w:hAnsi="华文细黑" w:eastAsia="华文细黑" w:cs="宋体"/>
                <w:b/>
                <w:bCs/>
                <w:kern w:val="0"/>
                <w:sz w:val="24"/>
              </w:rPr>
              <w:t>服务名称</w:t>
            </w:r>
          </w:p>
        </w:tc>
        <w:tc>
          <w:tcPr>
            <w:tcW w:w="1868" w:type="dxa"/>
            <w:tcBorders>
              <w:top w:val="single" w:color="auto" w:sz="8" w:space="0"/>
              <w:left w:val="nil"/>
              <w:bottom w:val="single" w:color="auto" w:sz="8" w:space="0"/>
              <w:right w:val="single" w:color="auto" w:sz="8" w:space="0"/>
            </w:tcBorders>
            <w:vAlign w:val="bottom"/>
          </w:tcPr>
          <w:p>
            <w:pPr>
              <w:widowControl/>
              <w:jc w:val="center"/>
              <w:rPr>
                <w:rFonts w:hint="eastAsia" w:ascii="华文细黑" w:hAnsi="华文细黑" w:eastAsia="华文细黑" w:cs="宋体"/>
                <w:b/>
                <w:bCs/>
                <w:kern w:val="0"/>
                <w:sz w:val="24"/>
                <w:lang w:eastAsia="zh-CN"/>
              </w:rPr>
            </w:pPr>
            <w:r>
              <w:rPr>
                <w:rFonts w:hint="eastAsia" w:ascii="华文细黑" w:hAnsi="华文细黑" w:eastAsia="华文细黑" w:cs="宋体"/>
                <w:b/>
                <w:bCs/>
                <w:kern w:val="0"/>
                <w:sz w:val="24"/>
                <w:lang w:val="en-US" w:eastAsia="zh-CN"/>
              </w:rPr>
              <w:t>功能</w:t>
            </w:r>
          </w:p>
        </w:tc>
        <w:tc>
          <w:tcPr>
            <w:tcW w:w="925" w:type="dxa"/>
            <w:tcBorders>
              <w:top w:val="single" w:color="auto" w:sz="8" w:space="0"/>
              <w:left w:val="nil"/>
              <w:bottom w:val="single" w:color="auto" w:sz="8" w:space="0"/>
              <w:right w:val="single" w:color="auto" w:sz="8" w:space="0"/>
            </w:tcBorders>
            <w:vAlign w:val="bottom"/>
          </w:tcPr>
          <w:p>
            <w:pPr>
              <w:widowControl/>
              <w:jc w:val="center"/>
              <w:rPr>
                <w:rFonts w:hint="eastAsia" w:ascii="华文细黑" w:hAnsi="华文细黑" w:eastAsia="华文细黑" w:cs="宋体"/>
                <w:b/>
                <w:bCs/>
                <w:kern w:val="0"/>
                <w:sz w:val="24"/>
                <w:lang w:val="en-US" w:eastAsia="zh-CN"/>
              </w:rPr>
            </w:pPr>
            <w:r>
              <w:rPr>
                <w:rFonts w:hint="eastAsia" w:ascii="华文细黑" w:hAnsi="华文细黑" w:eastAsia="华文细黑" w:cs="宋体"/>
                <w:b/>
                <w:bCs/>
                <w:kern w:val="0"/>
                <w:sz w:val="24"/>
                <w:lang w:val="en-US" w:eastAsia="zh-CN"/>
              </w:rPr>
              <w:t>单价</w:t>
            </w:r>
          </w:p>
        </w:tc>
        <w:tc>
          <w:tcPr>
            <w:tcW w:w="1875" w:type="dxa"/>
            <w:tcBorders>
              <w:top w:val="single" w:color="auto" w:sz="8" w:space="0"/>
              <w:left w:val="nil"/>
              <w:bottom w:val="single" w:color="auto" w:sz="8" w:space="0"/>
              <w:right w:val="single" w:color="auto" w:sz="8" w:space="0"/>
            </w:tcBorders>
            <w:vAlign w:val="bottom"/>
          </w:tcPr>
          <w:p>
            <w:pPr>
              <w:widowControl/>
              <w:jc w:val="center"/>
              <w:rPr>
                <w:rFonts w:hint="eastAsia" w:ascii="华文细黑" w:hAnsi="华文细黑" w:eastAsia="华文细黑" w:cs="宋体"/>
                <w:b/>
                <w:bCs/>
                <w:kern w:val="0"/>
                <w:sz w:val="24"/>
                <w:lang w:eastAsia="zh-CN"/>
              </w:rPr>
            </w:pPr>
            <w:r>
              <w:rPr>
                <w:rFonts w:hint="eastAsia" w:ascii="华文细黑" w:hAnsi="华文细黑" w:eastAsia="华文细黑" w:cs="宋体"/>
                <w:b/>
                <w:bCs/>
                <w:kern w:val="0"/>
                <w:sz w:val="24"/>
              </w:rPr>
              <w:t>数量</w:t>
            </w:r>
            <w:r>
              <w:rPr>
                <w:rFonts w:hint="eastAsia" w:ascii="华文细黑" w:hAnsi="华文细黑" w:eastAsia="华文细黑" w:cs="宋体"/>
                <w:b/>
                <w:bCs/>
                <w:kern w:val="0"/>
                <w:sz w:val="24"/>
                <w:lang w:eastAsia="zh-CN"/>
              </w:rPr>
              <w:t>（</w:t>
            </w:r>
            <w:r>
              <w:rPr>
                <w:rFonts w:hint="eastAsia" w:ascii="华文细黑" w:hAnsi="华文细黑" w:eastAsia="华文细黑" w:cs="宋体"/>
                <w:b/>
                <w:bCs/>
                <w:kern w:val="0"/>
                <w:sz w:val="24"/>
                <w:lang w:val="en-US" w:eastAsia="zh-CN"/>
              </w:rPr>
              <w:t>人/月</w:t>
            </w:r>
            <w:r>
              <w:rPr>
                <w:rFonts w:hint="eastAsia" w:ascii="华文细黑" w:hAnsi="华文细黑" w:eastAsia="华文细黑" w:cs="宋体"/>
                <w:b/>
                <w:bCs/>
                <w:kern w:val="0"/>
                <w:sz w:val="24"/>
                <w:lang w:eastAsia="zh-CN"/>
              </w:rPr>
              <w:t>）</w:t>
            </w:r>
          </w:p>
        </w:tc>
        <w:tc>
          <w:tcPr>
            <w:tcW w:w="1116" w:type="dxa"/>
            <w:tcBorders>
              <w:top w:val="single" w:color="auto" w:sz="8" w:space="0"/>
              <w:left w:val="nil"/>
              <w:bottom w:val="single" w:color="auto" w:sz="8" w:space="0"/>
              <w:right w:val="single" w:color="auto" w:sz="8" w:space="0"/>
            </w:tcBorders>
            <w:vAlign w:val="bottom"/>
          </w:tcPr>
          <w:p>
            <w:pPr>
              <w:widowControl/>
              <w:jc w:val="center"/>
              <w:rPr>
                <w:rFonts w:hint="eastAsia" w:ascii="华文细黑" w:hAnsi="华文细黑" w:eastAsia="华文细黑" w:cs="宋体"/>
                <w:b/>
                <w:bCs/>
                <w:kern w:val="0"/>
                <w:sz w:val="24"/>
                <w:lang w:val="en-US" w:eastAsia="zh-CN"/>
              </w:rPr>
            </w:pPr>
            <w:r>
              <w:rPr>
                <w:rFonts w:hint="eastAsia" w:ascii="华文细黑" w:hAnsi="华文细黑" w:eastAsia="华文细黑" w:cs="宋体"/>
                <w:b/>
                <w:bCs/>
                <w:kern w:val="0"/>
                <w:sz w:val="24"/>
              </w:rPr>
              <w:t>价格</w:t>
            </w:r>
          </w:p>
        </w:tc>
        <w:tc>
          <w:tcPr>
            <w:tcW w:w="1260" w:type="dxa"/>
            <w:tcBorders>
              <w:top w:val="single" w:color="auto" w:sz="8" w:space="0"/>
              <w:left w:val="nil"/>
              <w:bottom w:val="single" w:color="auto" w:sz="8" w:space="0"/>
              <w:right w:val="single" w:color="auto" w:sz="8" w:space="0"/>
            </w:tcBorders>
            <w:vAlign w:val="bottom"/>
          </w:tcPr>
          <w:p>
            <w:pPr>
              <w:widowControl/>
              <w:jc w:val="center"/>
              <w:rPr>
                <w:rFonts w:ascii="华文细黑" w:hAnsi="华文细黑" w:eastAsia="华文细黑" w:cs="宋体"/>
                <w:b/>
                <w:bCs/>
                <w:kern w:val="0"/>
                <w:sz w:val="24"/>
              </w:rPr>
            </w:pPr>
            <w:r>
              <w:rPr>
                <w:rFonts w:hint="eastAsia" w:ascii="华文细黑" w:hAnsi="华文细黑" w:eastAsia="华文细黑" w:cs="宋体"/>
                <w:b/>
                <w:bCs/>
                <w:kern w:val="0"/>
                <w:sz w:val="24"/>
              </w:rPr>
              <w:t>补充说明</w:t>
            </w:r>
          </w:p>
        </w:tc>
      </w:tr>
      <w:tr>
        <w:tblPrEx>
          <w:tblLayout w:type="fixed"/>
          <w:tblCellMar>
            <w:top w:w="0" w:type="dxa"/>
            <w:left w:w="108" w:type="dxa"/>
            <w:bottom w:w="0" w:type="dxa"/>
            <w:right w:w="108" w:type="dxa"/>
          </w:tblCellMar>
        </w:tblPrEx>
        <w:trPr>
          <w:trHeight w:val="285" w:hRule="atLeast"/>
        </w:trPr>
        <w:tc>
          <w:tcPr>
            <w:tcW w:w="1808" w:type="dxa"/>
            <w:vMerge w:val="restart"/>
            <w:tcBorders>
              <w:top w:val="nil"/>
              <w:left w:val="single" w:color="auto" w:sz="8" w:space="0"/>
              <w:bottom w:val="single" w:color="000000" w:sz="8" w:space="0"/>
              <w:right w:val="single" w:color="auto" w:sz="8" w:space="0"/>
            </w:tcBorders>
            <w:vAlign w:val="bottom"/>
          </w:tcPr>
          <w:p>
            <w:pPr>
              <w:widowControl/>
              <w:rPr>
                <w:rFonts w:ascii="华文细黑" w:hAnsi="华文细黑" w:eastAsia="华文细黑" w:cs="宋体"/>
                <w:kern w:val="0"/>
                <w:sz w:val="20"/>
                <w:szCs w:val="20"/>
              </w:rPr>
            </w:pPr>
            <w:r>
              <w:rPr>
                <w:rFonts w:hint="eastAsia" w:ascii="华文细黑" w:hAnsi="华文细黑" w:eastAsia="华文细黑" w:cs="宋体"/>
                <w:kern w:val="0"/>
                <w:sz w:val="20"/>
                <w:szCs w:val="20"/>
              </w:rPr>
              <w:t>（请填写相关服务条目）</w:t>
            </w:r>
          </w:p>
        </w:tc>
        <w:tc>
          <w:tcPr>
            <w:tcW w:w="1868" w:type="dxa"/>
            <w:tcBorders>
              <w:top w:val="nil"/>
              <w:left w:val="nil"/>
              <w:bottom w:val="single" w:color="000000" w:sz="8" w:space="0"/>
              <w:right w:val="single" w:color="auto" w:sz="8" w:space="0"/>
            </w:tcBorders>
            <w:vAlign w:val="bottom"/>
          </w:tcPr>
          <w:p>
            <w:pPr>
              <w:widowControl/>
              <w:jc w:val="left"/>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c>
          <w:tcPr>
            <w:tcW w:w="925" w:type="dxa"/>
            <w:tcBorders>
              <w:top w:val="nil"/>
              <w:left w:val="nil"/>
              <w:bottom w:val="single" w:color="000000" w:sz="8" w:space="0"/>
              <w:right w:val="single" w:color="auto" w:sz="8" w:space="0"/>
            </w:tcBorders>
            <w:vAlign w:val="bottom"/>
          </w:tcPr>
          <w:p>
            <w:pPr>
              <w:widowControl/>
              <w:jc w:val="left"/>
              <w:rPr>
                <w:rFonts w:ascii="宋体" w:hAnsi="宋体" w:cs="宋体"/>
                <w:kern w:val="0"/>
                <w:szCs w:val="21"/>
              </w:rPr>
            </w:pPr>
            <w:r>
              <w:rPr>
                <w:rFonts w:hint="eastAsia" w:ascii="宋体" w:hAnsi="宋体" w:cs="宋体"/>
                <w:kern w:val="0"/>
                <w:szCs w:val="21"/>
              </w:rPr>
              <w:t>　</w:t>
            </w:r>
          </w:p>
        </w:tc>
        <w:tc>
          <w:tcPr>
            <w:tcW w:w="1875" w:type="dxa"/>
            <w:tcBorders>
              <w:top w:val="nil"/>
              <w:left w:val="nil"/>
              <w:bottom w:val="single" w:color="000000" w:sz="8" w:space="0"/>
              <w:right w:val="single" w:color="auto" w:sz="8" w:space="0"/>
            </w:tcBorders>
            <w:vAlign w:val="bottom"/>
          </w:tcPr>
          <w:p>
            <w:pPr>
              <w:widowControl/>
              <w:jc w:val="left"/>
              <w:rPr>
                <w:rFonts w:ascii="宋体" w:hAnsi="宋体" w:cs="宋体"/>
                <w:kern w:val="0"/>
                <w:szCs w:val="21"/>
              </w:rPr>
            </w:pPr>
            <w:r>
              <w:rPr>
                <w:rFonts w:hint="eastAsia" w:ascii="宋体" w:hAnsi="宋体" w:cs="宋体"/>
                <w:kern w:val="0"/>
                <w:szCs w:val="21"/>
              </w:rPr>
              <w:t>　</w:t>
            </w:r>
          </w:p>
        </w:tc>
        <w:tc>
          <w:tcPr>
            <w:tcW w:w="1116" w:type="dxa"/>
            <w:tcBorders>
              <w:top w:val="nil"/>
              <w:left w:val="nil"/>
              <w:bottom w:val="single" w:color="000000" w:sz="8" w:space="0"/>
              <w:right w:val="single" w:color="auto" w:sz="8" w:space="0"/>
            </w:tcBorders>
            <w:vAlign w:val="bottom"/>
          </w:tcPr>
          <w:p>
            <w:pPr>
              <w:widowControl/>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c>
          <w:tcPr>
            <w:tcW w:w="1260" w:type="dxa"/>
            <w:tcBorders>
              <w:top w:val="nil"/>
              <w:left w:val="nil"/>
              <w:bottom w:val="single" w:color="000000" w:sz="8" w:space="0"/>
              <w:right w:val="single" w:color="auto" w:sz="8" w:space="0"/>
            </w:tcBorders>
            <w:vAlign w:val="bottom"/>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285" w:hRule="atLeast"/>
        </w:trPr>
        <w:tc>
          <w:tcPr>
            <w:tcW w:w="1808" w:type="dxa"/>
            <w:vMerge w:val="continue"/>
            <w:tcBorders>
              <w:top w:val="nil"/>
              <w:left w:val="single" w:color="auto" w:sz="8" w:space="0"/>
              <w:bottom w:val="single" w:color="000000" w:sz="8" w:space="0"/>
              <w:right w:val="single" w:color="auto" w:sz="8" w:space="0"/>
            </w:tcBorders>
            <w:vAlign w:val="center"/>
          </w:tcPr>
          <w:p>
            <w:pPr>
              <w:widowControl/>
              <w:jc w:val="left"/>
              <w:rPr>
                <w:rFonts w:ascii="华文细黑" w:hAnsi="华文细黑" w:eastAsia="华文细黑" w:cs="宋体"/>
                <w:kern w:val="0"/>
                <w:sz w:val="20"/>
                <w:szCs w:val="20"/>
              </w:rPr>
            </w:pPr>
          </w:p>
        </w:tc>
        <w:tc>
          <w:tcPr>
            <w:tcW w:w="1868" w:type="dxa"/>
            <w:tcBorders>
              <w:top w:val="nil"/>
              <w:left w:val="nil"/>
              <w:bottom w:val="single" w:color="auto" w:sz="8" w:space="0"/>
              <w:right w:val="single" w:color="auto" w:sz="8" w:space="0"/>
            </w:tcBorders>
            <w:vAlign w:val="bottom"/>
          </w:tcPr>
          <w:p>
            <w:pPr>
              <w:widowControl/>
              <w:jc w:val="left"/>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c>
          <w:tcPr>
            <w:tcW w:w="925" w:type="dxa"/>
            <w:tcBorders>
              <w:top w:val="nil"/>
              <w:left w:val="nil"/>
              <w:bottom w:val="single" w:color="auto" w:sz="8" w:space="0"/>
              <w:right w:val="single" w:color="auto" w:sz="8" w:space="0"/>
            </w:tcBorders>
            <w:vAlign w:val="bottom"/>
          </w:tcPr>
          <w:p>
            <w:pPr>
              <w:widowControl/>
              <w:jc w:val="center"/>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c>
          <w:tcPr>
            <w:tcW w:w="1875" w:type="dxa"/>
            <w:tcBorders>
              <w:top w:val="nil"/>
              <w:left w:val="nil"/>
              <w:bottom w:val="single" w:color="auto" w:sz="8" w:space="0"/>
              <w:right w:val="single" w:color="auto" w:sz="8" w:space="0"/>
            </w:tcBorders>
            <w:vAlign w:val="bottom"/>
          </w:tcPr>
          <w:p>
            <w:pPr>
              <w:widowControl/>
              <w:jc w:val="center"/>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c>
          <w:tcPr>
            <w:tcW w:w="1116" w:type="dxa"/>
            <w:tcBorders>
              <w:top w:val="nil"/>
              <w:left w:val="nil"/>
              <w:bottom w:val="single" w:color="auto" w:sz="8" w:space="0"/>
              <w:right w:val="single" w:color="auto" w:sz="8" w:space="0"/>
            </w:tcBorders>
            <w:vAlign w:val="bottom"/>
          </w:tcPr>
          <w:p>
            <w:pPr>
              <w:widowControl/>
              <w:jc w:val="center"/>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c>
          <w:tcPr>
            <w:tcW w:w="1260" w:type="dxa"/>
            <w:tcBorders>
              <w:top w:val="nil"/>
              <w:left w:val="nil"/>
              <w:bottom w:val="single" w:color="auto" w:sz="8" w:space="0"/>
              <w:right w:val="single" w:color="auto" w:sz="8" w:space="0"/>
            </w:tcBorders>
            <w:vAlign w:val="bottom"/>
          </w:tcPr>
          <w:p>
            <w:pPr>
              <w:widowControl/>
              <w:jc w:val="left"/>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r>
      <w:tr>
        <w:tblPrEx>
          <w:tblLayout w:type="fixed"/>
          <w:tblCellMar>
            <w:top w:w="0" w:type="dxa"/>
            <w:left w:w="108" w:type="dxa"/>
            <w:bottom w:w="0" w:type="dxa"/>
            <w:right w:w="108" w:type="dxa"/>
          </w:tblCellMar>
        </w:tblPrEx>
        <w:trPr>
          <w:trHeight w:val="285" w:hRule="atLeast"/>
        </w:trPr>
        <w:tc>
          <w:tcPr>
            <w:tcW w:w="1808" w:type="dxa"/>
            <w:vMerge w:val="continue"/>
            <w:tcBorders>
              <w:top w:val="nil"/>
              <w:left w:val="single" w:color="auto" w:sz="8" w:space="0"/>
              <w:bottom w:val="single" w:color="000000" w:sz="8" w:space="0"/>
              <w:right w:val="single" w:color="auto" w:sz="8" w:space="0"/>
            </w:tcBorders>
            <w:vAlign w:val="center"/>
          </w:tcPr>
          <w:p>
            <w:pPr>
              <w:widowControl/>
              <w:jc w:val="left"/>
              <w:rPr>
                <w:rFonts w:ascii="华文细黑" w:hAnsi="华文细黑" w:eastAsia="华文细黑" w:cs="宋体"/>
                <w:kern w:val="0"/>
                <w:sz w:val="20"/>
                <w:szCs w:val="20"/>
              </w:rPr>
            </w:pPr>
          </w:p>
        </w:tc>
        <w:tc>
          <w:tcPr>
            <w:tcW w:w="1868" w:type="dxa"/>
            <w:tcBorders>
              <w:top w:val="nil"/>
              <w:left w:val="nil"/>
              <w:bottom w:val="single" w:color="auto" w:sz="8" w:space="0"/>
              <w:right w:val="single" w:color="auto" w:sz="8" w:space="0"/>
            </w:tcBorders>
            <w:vAlign w:val="bottom"/>
          </w:tcPr>
          <w:p>
            <w:pPr>
              <w:widowControl/>
              <w:jc w:val="left"/>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c>
          <w:tcPr>
            <w:tcW w:w="925" w:type="dxa"/>
            <w:tcBorders>
              <w:top w:val="nil"/>
              <w:left w:val="nil"/>
              <w:bottom w:val="single" w:color="auto" w:sz="8" w:space="0"/>
              <w:right w:val="single" w:color="auto" w:sz="8" w:space="0"/>
            </w:tcBorders>
            <w:vAlign w:val="bottom"/>
          </w:tcPr>
          <w:p>
            <w:pPr>
              <w:widowControl/>
              <w:jc w:val="center"/>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c>
          <w:tcPr>
            <w:tcW w:w="1875" w:type="dxa"/>
            <w:tcBorders>
              <w:top w:val="nil"/>
              <w:left w:val="nil"/>
              <w:bottom w:val="single" w:color="auto" w:sz="8" w:space="0"/>
              <w:right w:val="single" w:color="auto" w:sz="8" w:space="0"/>
            </w:tcBorders>
            <w:vAlign w:val="bottom"/>
          </w:tcPr>
          <w:p>
            <w:pPr>
              <w:widowControl/>
              <w:jc w:val="center"/>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c>
          <w:tcPr>
            <w:tcW w:w="1116" w:type="dxa"/>
            <w:tcBorders>
              <w:top w:val="nil"/>
              <w:left w:val="nil"/>
              <w:bottom w:val="single" w:color="auto" w:sz="8" w:space="0"/>
              <w:right w:val="single" w:color="auto" w:sz="8" w:space="0"/>
            </w:tcBorders>
            <w:vAlign w:val="bottom"/>
          </w:tcPr>
          <w:p>
            <w:pPr>
              <w:widowControl/>
              <w:jc w:val="center"/>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c>
          <w:tcPr>
            <w:tcW w:w="1260" w:type="dxa"/>
            <w:tcBorders>
              <w:top w:val="nil"/>
              <w:left w:val="nil"/>
              <w:bottom w:val="single" w:color="auto" w:sz="8" w:space="0"/>
              <w:right w:val="single" w:color="auto" w:sz="8" w:space="0"/>
            </w:tcBorders>
            <w:vAlign w:val="bottom"/>
          </w:tcPr>
          <w:p>
            <w:pPr>
              <w:widowControl/>
              <w:jc w:val="left"/>
              <w:rPr>
                <w:rFonts w:ascii="华文细黑" w:hAnsi="华文细黑" w:eastAsia="华文细黑" w:cs="宋体"/>
                <w:kern w:val="0"/>
                <w:sz w:val="20"/>
                <w:szCs w:val="20"/>
              </w:rPr>
            </w:pPr>
            <w:r>
              <w:rPr>
                <w:rFonts w:hint="eastAsia" w:ascii="华文细黑" w:hAnsi="华文细黑" w:eastAsia="华文细黑" w:cs="宋体"/>
                <w:kern w:val="0"/>
                <w:sz w:val="20"/>
                <w:szCs w:val="20"/>
              </w:rPr>
              <w:t>　</w:t>
            </w:r>
          </w:p>
        </w:tc>
      </w:tr>
      <w:tr>
        <w:tblPrEx>
          <w:tblLayout w:type="fixed"/>
          <w:tblCellMar>
            <w:top w:w="0" w:type="dxa"/>
            <w:left w:w="108" w:type="dxa"/>
            <w:bottom w:w="0" w:type="dxa"/>
            <w:right w:w="108" w:type="dxa"/>
          </w:tblCellMar>
        </w:tblPrEx>
        <w:trPr>
          <w:trHeight w:val="780" w:hRule="atLeast"/>
        </w:trPr>
        <w:tc>
          <w:tcPr>
            <w:tcW w:w="1808" w:type="dxa"/>
            <w:tcBorders>
              <w:top w:val="nil"/>
              <w:left w:val="single" w:color="auto" w:sz="8" w:space="0"/>
              <w:bottom w:val="single" w:color="auto" w:sz="8" w:space="0"/>
              <w:right w:val="single" w:color="auto" w:sz="8" w:space="0"/>
            </w:tcBorders>
            <w:vAlign w:val="bottom"/>
          </w:tcPr>
          <w:p>
            <w:pPr>
              <w:widowControl/>
              <w:jc w:val="center"/>
              <w:rPr>
                <w:rFonts w:ascii="华文细黑" w:hAnsi="华文细黑" w:eastAsia="华文细黑" w:cs="宋体"/>
                <w:kern w:val="0"/>
                <w:szCs w:val="21"/>
              </w:rPr>
            </w:pPr>
            <w:r>
              <w:rPr>
                <w:rFonts w:hint="eastAsia" w:ascii="华文细黑" w:hAnsi="华文细黑" w:eastAsia="华文细黑" w:cs="宋体"/>
                <w:kern w:val="0"/>
                <w:szCs w:val="21"/>
              </w:rPr>
              <w:t>厂家免费提供的其他服务</w:t>
            </w:r>
          </w:p>
        </w:tc>
        <w:tc>
          <w:tcPr>
            <w:tcW w:w="7044" w:type="dxa"/>
            <w:gridSpan w:val="5"/>
            <w:tcBorders>
              <w:top w:val="single" w:color="auto" w:sz="8" w:space="0"/>
              <w:left w:val="nil"/>
              <w:bottom w:val="single" w:color="auto" w:sz="8" w:space="0"/>
              <w:right w:val="single" w:color="000000" w:sz="8" w:space="0"/>
            </w:tcBorders>
            <w:vAlign w:val="bottom"/>
          </w:tcPr>
          <w:p>
            <w:pPr>
              <w:widowControl/>
              <w:rPr>
                <w:rFonts w:ascii="华文细黑" w:hAnsi="华文细黑" w:eastAsia="华文细黑" w:cs="宋体"/>
                <w:b/>
                <w:bCs/>
                <w:kern w:val="0"/>
                <w:szCs w:val="21"/>
              </w:rPr>
            </w:pPr>
            <w:r>
              <w:rPr>
                <w:rFonts w:hint="eastAsia" w:ascii="华文细黑" w:hAnsi="华文细黑" w:eastAsia="华文细黑" w:cs="宋体"/>
                <w:b/>
                <w:bCs/>
                <w:kern w:val="0"/>
                <w:szCs w:val="21"/>
              </w:rPr>
              <w:t>　</w:t>
            </w:r>
          </w:p>
        </w:tc>
      </w:tr>
      <w:tr>
        <w:tblPrEx>
          <w:tblLayout w:type="fixed"/>
          <w:tblCellMar>
            <w:top w:w="0" w:type="dxa"/>
            <w:left w:w="108" w:type="dxa"/>
            <w:bottom w:w="0" w:type="dxa"/>
            <w:right w:w="108" w:type="dxa"/>
          </w:tblCellMar>
        </w:tblPrEx>
        <w:trPr>
          <w:trHeight w:val="1473" w:hRule="atLeast"/>
        </w:trPr>
        <w:tc>
          <w:tcPr>
            <w:tcW w:w="1808" w:type="dxa"/>
            <w:tcBorders>
              <w:top w:val="nil"/>
              <w:left w:val="single" w:color="auto" w:sz="8" w:space="0"/>
              <w:bottom w:val="single" w:color="auto" w:sz="8" w:space="0"/>
              <w:right w:val="single" w:color="auto" w:sz="8" w:space="0"/>
            </w:tcBorders>
            <w:vAlign w:val="bottom"/>
          </w:tcPr>
          <w:p>
            <w:pPr>
              <w:widowControl/>
              <w:rPr>
                <w:rFonts w:ascii="华文细黑" w:hAnsi="华文细黑" w:eastAsia="华文细黑" w:cs="宋体"/>
                <w:b/>
                <w:bCs/>
                <w:kern w:val="0"/>
                <w:szCs w:val="21"/>
              </w:rPr>
            </w:pPr>
            <w:r>
              <w:rPr>
                <w:rFonts w:hint="eastAsia" w:ascii="华文细黑" w:hAnsi="华文细黑" w:eastAsia="华文细黑" w:cs="宋体"/>
                <w:b/>
                <w:bCs/>
                <w:kern w:val="0"/>
                <w:szCs w:val="21"/>
              </w:rPr>
              <w:t>项目总报价（</w:t>
            </w:r>
            <w:r>
              <w:rPr>
                <w:rFonts w:hint="eastAsia" w:ascii="华文细黑" w:hAnsi="华文细黑" w:eastAsia="华文细黑" w:cs="宋体"/>
                <w:b w:val="0"/>
                <w:bCs w:val="0"/>
                <w:kern w:val="0"/>
                <w:szCs w:val="21"/>
                <w:lang w:val="en-US" w:eastAsia="zh-CN"/>
              </w:rPr>
              <w:t>含税包干价，已包</w:t>
            </w:r>
            <w:r>
              <w:rPr>
                <w:rFonts w:hint="eastAsia" w:ascii="华文细黑" w:hAnsi="华文细黑" w:eastAsia="华文细黑" w:cs="宋体"/>
                <w:kern w:val="0"/>
                <w:szCs w:val="21"/>
              </w:rPr>
              <w:t>含</w:t>
            </w:r>
            <w:r>
              <w:rPr>
                <w:rFonts w:hint="eastAsia" w:ascii="华文细黑" w:hAnsi="华文细黑" w:eastAsia="华文细黑" w:cs="宋体"/>
                <w:kern w:val="0"/>
                <w:szCs w:val="21"/>
                <w:lang w:val="en-US" w:eastAsia="zh-CN"/>
              </w:rPr>
              <w:t>完成本项目全部工作所需</w:t>
            </w:r>
            <w:r>
              <w:rPr>
                <w:rFonts w:hint="eastAsia" w:ascii="华文细黑" w:hAnsi="华文细黑" w:eastAsia="华文细黑" w:cs="宋体"/>
                <w:kern w:val="0"/>
                <w:szCs w:val="21"/>
              </w:rPr>
              <w:t>的一切设备和服务</w:t>
            </w:r>
            <w:r>
              <w:rPr>
                <w:rFonts w:hint="eastAsia" w:ascii="华文细黑" w:hAnsi="华文细黑" w:eastAsia="华文细黑" w:cs="宋体"/>
                <w:kern w:val="0"/>
                <w:szCs w:val="21"/>
                <w:lang w:val="en-US" w:eastAsia="zh-CN"/>
              </w:rPr>
              <w:t>费用</w:t>
            </w:r>
            <w:r>
              <w:rPr>
                <w:rFonts w:hint="eastAsia" w:ascii="华文细黑" w:hAnsi="华文细黑" w:eastAsia="华文细黑" w:cs="宋体"/>
                <w:kern w:val="0"/>
                <w:szCs w:val="21"/>
              </w:rPr>
              <w:t>）</w:t>
            </w:r>
          </w:p>
        </w:tc>
        <w:tc>
          <w:tcPr>
            <w:tcW w:w="7044" w:type="dxa"/>
            <w:gridSpan w:val="5"/>
            <w:tcBorders>
              <w:top w:val="single" w:color="auto" w:sz="8" w:space="0"/>
              <w:left w:val="nil"/>
              <w:bottom w:val="single" w:color="auto" w:sz="8" w:space="0"/>
              <w:right w:val="single" w:color="000000" w:sz="8" w:space="0"/>
            </w:tcBorders>
            <w:vAlign w:val="bottom"/>
          </w:tcPr>
          <w:p>
            <w:pPr>
              <w:widowControl/>
              <w:rPr>
                <w:rFonts w:ascii="华文细黑" w:hAnsi="华文细黑" w:eastAsia="华文细黑" w:cs="宋体"/>
                <w:b/>
                <w:bCs/>
                <w:kern w:val="0"/>
                <w:szCs w:val="21"/>
              </w:rPr>
            </w:pPr>
            <w:r>
              <w:rPr>
                <w:rFonts w:hint="eastAsia" w:ascii="华文细黑" w:hAnsi="华文细黑" w:eastAsia="华文细黑" w:cs="宋体"/>
                <w:b/>
                <w:bCs/>
                <w:kern w:val="0"/>
                <w:szCs w:val="21"/>
              </w:rPr>
              <w:t>大写：人民币</w:t>
            </w:r>
            <w:r>
              <w:rPr>
                <w:rFonts w:hint="eastAsia" w:ascii="华文细黑" w:hAnsi="华文细黑" w:eastAsia="华文细黑" w:cs="宋体"/>
                <w:b/>
                <w:bCs/>
                <w:kern w:val="0"/>
                <w:szCs w:val="21"/>
                <w:u w:val="single"/>
              </w:rPr>
              <w:t xml:space="preserve">                      </w:t>
            </w:r>
            <w:r>
              <w:rPr>
                <w:rFonts w:hint="eastAsia" w:ascii="华文细黑" w:hAnsi="华文细黑" w:eastAsia="华文细黑" w:cs="宋体"/>
                <w:b/>
                <w:bCs/>
                <w:kern w:val="0"/>
                <w:szCs w:val="21"/>
              </w:rPr>
              <w:t>（小写￥</w:t>
            </w:r>
            <w:r>
              <w:rPr>
                <w:rFonts w:hint="eastAsia" w:ascii="华文细黑" w:hAnsi="华文细黑" w:eastAsia="华文细黑" w:cs="宋体"/>
                <w:b/>
                <w:bCs/>
                <w:kern w:val="0"/>
                <w:szCs w:val="21"/>
                <w:u w:val="single"/>
              </w:rPr>
              <w:t xml:space="preserve">           </w:t>
            </w:r>
            <w:r>
              <w:rPr>
                <w:rFonts w:hint="eastAsia" w:ascii="华文细黑" w:hAnsi="华文细黑" w:eastAsia="华文细黑" w:cs="宋体"/>
                <w:b/>
                <w:bCs/>
                <w:kern w:val="0"/>
                <w:szCs w:val="21"/>
              </w:rPr>
              <w:t xml:space="preserve"> ）</w:t>
            </w:r>
          </w:p>
        </w:tc>
      </w:tr>
    </w:tbl>
    <w:p>
      <w:pPr>
        <w:pStyle w:val="10"/>
        <w:adjustRightInd w:val="0"/>
        <w:snapToGrid w:val="0"/>
        <w:spacing w:before="0" w:beforeAutospacing="0" w:after="0" w:afterAutospacing="0" w:line="0" w:lineRule="atLeast"/>
        <w:ind w:firstLine="420"/>
        <w:rPr>
          <w:rFonts w:ascii="华文细黑" w:hAnsi="华文细黑" w:eastAsia="华文细黑"/>
          <w:sz w:val="21"/>
          <w:szCs w:val="21"/>
        </w:rPr>
      </w:pPr>
    </w:p>
    <w:p>
      <w:pPr>
        <w:pStyle w:val="10"/>
        <w:adjustRightInd w:val="0"/>
        <w:snapToGrid w:val="0"/>
        <w:spacing w:before="0" w:beforeAutospacing="0" w:after="0" w:afterAutospacing="0" w:line="0" w:lineRule="atLeast"/>
        <w:ind w:firstLine="420"/>
        <w:rPr>
          <w:rFonts w:hint="eastAsia" w:ascii="华文细黑" w:hAnsi="华文细黑" w:eastAsia="华文细黑"/>
          <w:sz w:val="21"/>
          <w:szCs w:val="21"/>
        </w:rPr>
      </w:pPr>
      <w:r>
        <w:rPr>
          <w:rFonts w:hint="eastAsia" w:ascii="华文细黑" w:hAnsi="华文细黑" w:eastAsia="华文细黑"/>
          <w:sz w:val="21"/>
          <w:szCs w:val="21"/>
        </w:rPr>
        <w:t>本公司已阅读并完全理解贵公司</w:t>
      </w:r>
      <w:r>
        <w:rPr>
          <w:rFonts w:hint="eastAsia" w:ascii="华文细黑" w:hAnsi="华文细黑" w:eastAsia="华文细黑"/>
          <w:sz w:val="21"/>
          <w:szCs w:val="21"/>
          <w:lang w:val="en-US" w:eastAsia="zh-CN"/>
        </w:rPr>
        <w:t>竞价公告</w:t>
      </w:r>
      <w:r>
        <w:rPr>
          <w:rFonts w:hint="eastAsia" w:ascii="华文细黑" w:hAnsi="华文细黑" w:eastAsia="华文细黑"/>
          <w:sz w:val="21"/>
          <w:szCs w:val="21"/>
        </w:rPr>
        <w:t>的全部内容，本公司承诺对</w:t>
      </w:r>
      <w:r>
        <w:rPr>
          <w:rFonts w:hint="eastAsia" w:ascii="华文细黑" w:hAnsi="华文细黑" w:eastAsia="华文细黑"/>
          <w:sz w:val="21"/>
          <w:szCs w:val="21"/>
          <w:lang w:val="en-US" w:eastAsia="zh-CN"/>
        </w:rPr>
        <w:t>项目采购需求、服务要求、项目周期、资格要求</w:t>
      </w:r>
      <w:r>
        <w:rPr>
          <w:rFonts w:hint="eastAsia" w:ascii="华文细黑" w:hAnsi="华文细黑" w:eastAsia="华文细黑"/>
          <w:sz w:val="21"/>
          <w:szCs w:val="21"/>
        </w:rPr>
        <w:t>以及特别</w:t>
      </w:r>
      <w:r>
        <w:rPr>
          <w:rFonts w:hint="eastAsia" w:ascii="华文细黑" w:hAnsi="华文细黑" w:eastAsia="华文细黑"/>
          <w:sz w:val="21"/>
          <w:szCs w:val="21"/>
          <w:lang w:val="en-US" w:eastAsia="zh-CN"/>
        </w:rPr>
        <w:t>说明</w:t>
      </w:r>
      <w:r>
        <w:rPr>
          <w:rFonts w:hint="eastAsia" w:ascii="华文细黑" w:hAnsi="华文细黑" w:eastAsia="华文细黑"/>
          <w:sz w:val="21"/>
          <w:szCs w:val="21"/>
        </w:rPr>
        <w:t>中的所有要求均能满足。本公司确认以上内容情况属实。</w:t>
      </w:r>
    </w:p>
    <w:p>
      <w:pPr>
        <w:pStyle w:val="10"/>
        <w:adjustRightInd w:val="0"/>
        <w:snapToGrid w:val="0"/>
        <w:spacing w:before="0" w:beforeAutospacing="0" w:after="0" w:afterAutospacing="0" w:line="0" w:lineRule="atLeast"/>
        <w:ind w:firstLine="420"/>
        <w:rPr>
          <w:rFonts w:hint="eastAsia" w:ascii="华文细黑" w:hAnsi="华文细黑" w:eastAsia="华文细黑"/>
          <w:sz w:val="21"/>
          <w:szCs w:val="21"/>
        </w:rPr>
      </w:pPr>
    </w:p>
    <w:p>
      <w:pPr>
        <w:pStyle w:val="10"/>
        <w:adjustRightInd w:val="0"/>
        <w:snapToGrid w:val="0"/>
        <w:spacing w:before="0" w:beforeAutospacing="0" w:after="0" w:afterAutospacing="0" w:line="0" w:lineRule="atLeast"/>
        <w:ind w:firstLine="420"/>
        <w:rPr>
          <w:rFonts w:hint="eastAsia" w:ascii="华文细黑" w:hAnsi="华文细黑" w:eastAsia="华文细黑"/>
          <w:sz w:val="21"/>
          <w:szCs w:val="21"/>
        </w:rPr>
      </w:pPr>
    </w:p>
    <w:p>
      <w:pPr>
        <w:spacing w:line="0" w:lineRule="atLeast"/>
        <w:ind w:left="417"/>
        <w:rPr>
          <w:rFonts w:ascii="华文细黑" w:hAnsi="华文细黑" w:eastAsia="华文细黑"/>
          <w:b/>
          <w:bCs/>
          <w:szCs w:val="21"/>
        </w:rPr>
      </w:pPr>
      <w:r>
        <w:rPr>
          <w:rFonts w:hint="eastAsia" w:ascii="华文细黑" w:hAnsi="华文细黑" w:eastAsia="华文细黑"/>
          <w:b/>
          <w:szCs w:val="21"/>
        </w:rPr>
        <w:t>授权代表签字：</w:t>
      </w:r>
      <w:r>
        <w:rPr>
          <w:rFonts w:hint="eastAsia" w:ascii="华文细黑" w:hAnsi="华文细黑" w:eastAsia="华文细黑"/>
          <w:b/>
          <w:szCs w:val="21"/>
          <w:u w:val="single"/>
        </w:rPr>
        <w:t xml:space="preserve">               </w:t>
      </w:r>
      <w:r>
        <w:rPr>
          <w:rFonts w:hint="eastAsia" w:ascii="华文细黑" w:hAnsi="华文细黑" w:eastAsia="华文细黑"/>
          <w:b/>
          <w:szCs w:val="21"/>
        </w:rPr>
        <w:t xml:space="preserve">   单位（盖章）    年   月   日</w:t>
      </w:r>
    </w:p>
    <w:p>
      <w:pPr>
        <w:spacing w:line="0" w:lineRule="atLeast"/>
        <w:ind w:left="417"/>
        <w:rPr>
          <w:rFonts w:ascii="华文细黑" w:hAnsi="华文细黑" w:eastAsia="华文细黑"/>
          <w:b/>
          <w:bCs/>
          <w:szCs w:val="21"/>
        </w:rPr>
        <w:sectPr>
          <w:headerReference r:id="rId3" w:type="default"/>
          <w:footerReference r:id="rId4" w:type="default"/>
          <w:pgSz w:w="11906" w:h="16838"/>
          <w:pgMar w:top="1440" w:right="1797" w:bottom="1440" w:left="1797" w:header="851" w:footer="992" w:gutter="0"/>
          <w:cols w:space="720" w:num="1"/>
          <w:docGrid w:type="lines" w:linePitch="312" w:charSpace="0"/>
        </w:sectPr>
      </w:pPr>
    </w:p>
    <w:p>
      <w:pPr>
        <w:widowControl/>
        <w:spacing w:line="540" w:lineRule="exact"/>
        <w:jc w:val="left"/>
        <w:rPr>
          <w:rFonts w:hint="eastAsia" w:ascii="仿宋" w:hAnsi="仿宋" w:eastAsia="仿宋"/>
          <w:b/>
          <w:spacing w:val="-6"/>
          <w:sz w:val="30"/>
          <w:szCs w:val="30"/>
          <w:lang w:eastAsia="zh-CN"/>
        </w:rPr>
      </w:pPr>
      <w:r>
        <w:rPr>
          <w:rFonts w:hint="eastAsia" w:ascii="仿宋" w:hAnsi="仿宋" w:eastAsia="仿宋"/>
          <w:b/>
          <w:spacing w:val="-6"/>
          <w:sz w:val="30"/>
          <w:szCs w:val="30"/>
        </w:rPr>
        <w:t>附件</w:t>
      </w:r>
      <w:r>
        <w:rPr>
          <w:rFonts w:hint="eastAsia" w:ascii="仿宋" w:hAnsi="仿宋" w:eastAsia="仿宋"/>
          <w:b/>
          <w:spacing w:val="-6"/>
          <w:sz w:val="30"/>
          <w:szCs w:val="30"/>
          <w:lang w:val="en-US" w:eastAsia="zh-CN"/>
        </w:rPr>
        <w:t>2</w:t>
      </w:r>
    </w:p>
    <w:p>
      <w:pPr>
        <w:widowControl/>
        <w:spacing w:line="540" w:lineRule="exact"/>
        <w:jc w:val="center"/>
        <w:rPr>
          <w:rFonts w:ascii="仿宋" w:hAnsi="仿宋" w:eastAsia="仿宋" w:cs="宋体"/>
          <w:spacing w:val="-6"/>
          <w:sz w:val="30"/>
          <w:szCs w:val="30"/>
        </w:rPr>
      </w:pPr>
      <w:r>
        <w:rPr>
          <w:rFonts w:hint="eastAsia" w:ascii="仿宋" w:hAnsi="仿宋" w:eastAsia="仿宋" w:cs="宋体"/>
          <w:b/>
          <w:spacing w:val="-6"/>
          <w:sz w:val="30"/>
          <w:szCs w:val="30"/>
        </w:rPr>
        <w:t>供应商声明</w:t>
      </w:r>
    </w:p>
    <w:p>
      <w:pPr>
        <w:pStyle w:val="19"/>
        <w:widowControl/>
        <w:numPr>
          <w:ilvl w:val="0"/>
          <w:numId w:val="5"/>
        </w:numPr>
        <w:spacing w:line="540" w:lineRule="exact"/>
        <w:ind w:firstLine="549" w:firstLineChars="0"/>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olor w:val="000000" w:themeColor="text1"/>
          <w:spacing w:val="-6"/>
          <w:sz w:val="30"/>
          <w:szCs w:val="30"/>
          <w14:textFill>
            <w14:solidFill>
              <w14:schemeClr w14:val="tx1"/>
            </w14:solidFill>
          </w14:textFill>
        </w:rPr>
        <w:t>本公司承诺遵守太平洋安信农业保险股份有限公司采购纪律和相关工作流程，确保</w:t>
      </w:r>
      <w:r>
        <w:rPr>
          <w:rFonts w:hint="eastAsia" w:ascii="仿宋" w:hAnsi="仿宋" w:eastAsia="仿宋" w:cs="Arial"/>
          <w:color w:val="000000" w:themeColor="text1"/>
          <w:spacing w:val="-6"/>
          <w:sz w:val="30"/>
          <w:szCs w:val="30"/>
          <w14:textFill>
            <w14:solidFill>
              <w14:schemeClr w14:val="tx1"/>
            </w14:solidFill>
          </w14:textFill>
        </w:rPr>
        <w:t>采购活动规范与廉洁</w:t>
      </w:r>
      <w:r>
        <w:rPr>
          <w:rFonts w:hint="eastAsia" w:ascii="仿宋" w:hAnsi="仿宋" w:eastAsia="仿宋"/>
          <w:color w:val="000000" w:themeColor="text1"/>
          <w:spacing w:val="-6"/>
          <w:sz w:val="30"/>
          <w:szCs w:val="30"/>
          <w14:textFill>
            <w14:solidFill>
              <w14:schemeClr w14:val="tx1"/>
            </w14:solidFill>
          </w14:textFill>
        </w:rPr>
        <w:t>。</w:t>
      </w:r>
    </w:p>
    <w:p>
      <w:pPr>
        <w:pStyle w:val="19"/>
        <w:widowControl/>
        <w:numPr>
          <w:ilvl w:val="0"/>
          <w:numId w:val="5"/>
        </w:numPr>
        <w:spacing w:line="540" w:lineRule="exact"/>
        <w:ind w:firstLine="549" w:firstLineChars="0"/>
        <w:jc w:val="left"/>
        <w:rPr>
          <w:rFonts w:ascii="仿宋" w:hAnsi="仿宋" w:eastAsia="仿宋" w:cs="FZFSJW--GB1-0"/>
          <w:b/>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本公司承诺</w:t>
      </w:r>
      <w:r>
        <w:rPr>
          <w:rFonts w:hint="eastAsia" w:ascii="仿宋" w:hAnsi="仿宋" w:eastAsia="仿宋"/>
          <w:color w:val="000000" w:themeColor="text1"/>
          <w:spacing w:val="-6"/>
          <w:sz w:val="30"/>
          <w:szCs w:val="30"/>
          <w14:textFill>
            <w14:solidFill>
              <w14:schemeClr w14:val="tx1"/>
            </w14:solidFill>
          </w14:textFill>
        </w:rPr>
        <w:t>依法成立，具有法人资格或具备独立承担民事责任的能力及有履行合同所必需的设备和专业技术能力</w:t>
      </w:r>
      <w:r>
        <w:rPr>
          <w:rFonts w:hint="eastAsia" w:ascii="仿宋" w:hAnsi="仿宋" w:eastAsia="仿宋" w:cs="FZFSJW--GB1-0"/>
          <w:color w:val="000000" w:themeColor="text1"/>
          <w:spacing w:val="-6"/>
          <w:sz w:val="30"/>
          <w:szCs w:val="30"/>
          <w14:textFill>
            <w14:solidFill>
              <w14:schemeClr w14:val="tx1"/>
            </w14:solidFill>
          </w14:textFill>
        </w:rPr>
        <w:t>。</w:t>
      </w:r>
    </w:p>
    <w:p>
      <w:pPr>
        <w:pStyle w:val="19"/>
        <w:widowControl/>
        <w:numPr>
          <w:ilvl w:val="0"/>
          <w:numId w:val="5"/>
        </w:numPr>
        <w:spacing w:line="540" w:lineRule="exact"/>
        <w:ind w:firstLine="549" w:firstLineChars="0"/>
        <w:jc w:val="left"/>
        <w:rPr>
          <w:rFonts w:ascii="仿宋" w:hAnsi="仿宋" w:eastAsia="仿宋" w:cs="FZFSJW--GB1-0"/>
          <w:spacing w:val="-6"/>
          <w:sz w:val="30"/>
          <w:szCs w:val="30"/>
        </w:rPr>
      </w:pPr>
      <w:r>
        <w:rPr>
          <w:rFonts w:hint="eastAsia" w:ascii="仿宋" w:hAnsi="仿宋" w:eastAsia="仿宋" w:cs="FZFSJW--GB1-0"/>
          <w:spacing w:val="-6"/>
          <w:sz w:val="30"/>
          <w:szCs w:val="30"/>
        </w:rPr>
        <w:t>本公司承诺商业信誉及经营状况良好，且近三年内无不良经营记录、无违规违法记录。</w:t>
      </w:r>
    </w:p>
    <w:p>
      <w:pPr>
        <w:pStyle w:val="19"/>
        <w:widowControl/>
        <w:numPr>
          <w:ilvl w:val="0"/>
          <w:numId w:val="5"/>
        </w:numPr>
        <w:spacing w:line="540" w:lineRule="exact"/>
        <w:ind w:firstLine="549" w:firstLineChars="0"/>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本公司保证向太平洋安信农业保险股份有限公司提交的资料、数据（包括但不限于谈判响应文件、采购系统提交的数据及其它太平洋安信农业保险股份有限公司要求提供的资料等）具有其合法性和有效性。本公司所有提交的资料均视为本公司真实意思表达，对本公司具有法律拘束力。</w:t>
      </w:r>
    </w:p>
    <w:p>
      <w:pPr>
        <w:pStyle w:val="19"/>
        <w:widowControl/>
        <w:numPr>
          <w:ilvl w:val="0"/>
          <w:numId w:val="5"/>
        </w:numPr>
        <w:spacing w:line="540" w:lineRule="exact"/>
        <w:ind w:firstLine="549" w:firstLineChars="0"/>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本公司严守采购活动中涉及的保密信息，未经法律法规及相关有权机关要求或未经太平洋安信农业保险股份有限公司事先书面同意，绝不将信息泄露给其他第三方。</w:t>
      </w:r>
    </w:p>
    <w:p>
      <w:pPr>
        <w:pStyle w:val="19"/>
        <w:widowControl/>
        <w:numPr>
          <w:ilvl w:val="0"/>
          <w:numId w:val="5"/>
        </w:numPr>
        <w:spacing w:line="540" w:lineRule="exact"/>
        <w:ind w:firstLine="560" w:firstLineChars="0"/>
        <w:jc w:val="left"/>
        <w:rPr>
          <w:rFonts w:ascii="仿宋" w:hAnsi="仿宋" w:eastAsia="仿宋" w:cs="FZFSJW--GB1-0"/>
          <w:b/>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本公司参与采购活动的义务包括：</w:t>
      </w:r>
    </w:p>
    <w:p>
      <w:pPr>
        <w:widowControl/>
        <w:numPr>
          <w:ilvl w:val="0"/>
          <w:numId w:val="6"/>
        </w:numPr>
        <w:spacing w:line="540" w:lineRule="exact"/>
        <w:ind w:firstLine="549"/>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自觉遵守太平洋安信农业保险股份有限公司关于供应商管理的相关制度规定，保证在采购活动中无任何违法、违规、违纪行为。</w:t>
      </w:r>
    </w:p>
    <w:p>
      <w:pPr>
        <w:widowControl/>
        <w:numPr>
          <w:ilvl w:val="0"/>
          <w:numId w:val="6"/>
        </w:numPr>
        <w:spacing w:line="540" w:lineRule="exact"/>
        <w:ind w:firstLine="549"/>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为太平洋安信农业保险股份有限公司提供符合规定质量标准的货物、工程和服务, 不擅自将中标（选）项目分包或转包。</w:t>
      </w:r>
    </w:p>
    <w:p>
      <w:pPr>
        <w:widowControl/>
        <w:numPr>
          <w:ilvl w:val="0"/>
          <w:numId w:val="6"/>
        </w:numPr>
        <w:spacing w:line="540" w:lineRule="exact"/>
        <w:ind w:firstLine="549"/>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olor w:val="000000" w:themeColor="text1"/>
          <w:spacing w:val="-6"/>
          <w:sz w:val="30"/>
          <w:szCs w:val="30"/>
          <w14:textFill>
            <w14:solidFill>
              <w14:schemeClr w14:val="tx1"/>
            </w14:solidFill>
          </w14:textFill>
        </w:rPr>
        <w:t>在参与采购项目过程中，不串通其他供应商哄抬标价，扰乱采购秩序，谋取非法权益，</w:t>
      </w:r>
      <w:r>
        <w:rPr>
          <w:rFonts w:hint="eastAsia" w:ascii="仿宋" w:hAnsi="仿宋" w:eastAsia="仿宋" w:cs="Arial"/>
          <w:color w:val="000000" w:themeColor="text1"/>
          <w:spacing w:val="-6"/>
          <w:sz w:val="30"/>
          <w:szCs w:val="30"/>
          <w14:textFill>
            <w14:solidFill>
              <w14:schemeClr w14:val="tx1"/>
            </w14:solidFill>
          </w14:textFill>
        </w:rPr>
        <w:t>不提供虚假材料谋取中标（选）。</w:t>
      </w:r>
    </w:p>
    <w:p>
      <w:pPr>
        <w:widowControl/>
        <w:numPr>
          <w:ilvl w:val="0"/>
          <w:numId w:val="6"/>
        </w:numPr>
        <w:spacing w:line="540" w:lineRule="exact"/>
        <w:ind w:firstLine="549"/>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中标（选）后，</w:t>
      </w:r>
      <w:r>
        <w:rPr>
          <w:rFonts w:hint="eastAsia" w:ascii="仿宋" w:hAnsi="仿宋" w:eastAsia="仿宋"/>
          <w:color w:val="000000" w:themeColor="text1"/>
          <w:spacing w:val="-6"/>
          <w:sz w:val="30"/>
          <w:szCs w:val="30"/>
          <w14:textFill>
            <w14:solidFill>
              <w14:schemeClr w14:val="tx1"/>
            </w14:solidFill>
          </w14:textFill>
        </w:rPr>
        <w:t>按规定的时间与太平洋安信农业保险股份有限公司签订采购合同，并按合同严格履约；</w:t>
      </w:r>
      <w:r>
        <w:rPr>
          <w:rFonts w:hint="eastAsia" w:ascii="仿宋" w:hAnsi="仿宋" w:eastAsia="仿宋" w:cs="FZFSJW--GB1-0"/>
          <w:color w:val="000000" w:themeColor="text1"/>
          <w:spacing w:val="-6"/>
          <w:sz w:val="30"/>
          <w:szCs w:val="30"/>
          <w14:textFill>
            <w14:solidFill>
              <w14:schemeClr w14:val="tx1"/>
            </w14:solidFill>
          </w14:textFill>
        </w:rPr>
        <w:t>不擅自变更或者终止采购合同；内容包括且不限于中标（选）货物、设备、材料、服务、采购文件、招标文件及采购合同约定等的相关事宜。</w:t>
      </w:r>
    </w:p>
    <w:p>
      <w:pPr>
        <w:widowControl/>
        <w:numPr>
          <w:ilvl w:val="0"/>
          <w:numId w:val="6"/>
        </w:numPr>
        <w:spacing w:line="540" w:lineRule="exact"/>
        <w:ind w:left="0" w:firstLine="576" w:firstLineChars="200"/>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olor w:val="000000" w:themeColor="text1"/>
          <w:spacing w:val="-6"/>
          <w:sz w:val="30"/>
          <w:szCs w:val="30"/>
          <w:lang w:val="en-US" w:eastAsia="zh-CN"/>
          <w14:textFill>
            <w14:solidFill>
              <w14:schemeClr w14:val="tx1"/>
            </w14:solidFill>
          </w14:textFill>
        </w:rPr>
        <w:t>在与太平洋安信农业保险股份有限公司签署正式合同之前已接受本公司提供的货物、工程或服务，太平洋安信农业保险股份有限公司有权不承担由此产生的一切经济责任与法律责任。本公司同时将积极配合太平洋安信农业保险股份有限公司相关部门的调查工作。</w:t>
      </w:r>
    </w:p>
    <w:p>
      <w:pPr>
        <w:widowControl/>
        <w:numPr>
          <w:ilvl w:val="0"/>
          <w:numId w:val="6"/>
        </w:numPr>
        <w:spacing w:line="540" w:lineRule="exact"/>
        <w:ind w:firstLine="549"/>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主动接受太平洋安信农业保险股份有限公司采购部门及监察部门的监督、管理，不进行包括给回扣、介绍费在内的一切违纪违法行为。</w:t>
      </w:r>
    </w:p>
    <w:p>
      <w:pPr>
        <w:widowControl/>
        <w:numPr>
          <w:ilvl w:val="0"/>
          <w:numId w:val="6"/>
        </w:numPr>
        <w:spacing w:line="540" w:lineRule="exact"/>
        <w:ind w:firstLine="549"/>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发生工商变更、注销，应书面（或通过邮件）报告太平洋安信农业保险股份有限公司采购部门，并办理相应的公司资格变更或注销手续。</w:t>
      </w:r>
    </w:p>
    <w:p>
      <w:pPr>
        <w:widowControl/>
        <w:numPr>
          <w:ilvl w:val="0"/>
          <w:numId w:val="6"/>
        </w:numPr>
        <w:spacing w:line="540" w:lineRule="exact"/>
        <w:ind w:firstLine="549"/>
        <w:jc w:val="left"/>
        <w:rPr>
          <w:rFonts w:ascii="仿宋" w:hAnsi="仿宋" w:eastAsia="仿宋"/>
          <w:color w:val="000000" w:themeColor="text1"/>
          <w:spacing w:val="-6"/>
          <w:sz w:val="30"/>
          <w:szCs w:val="30"/>
          <w14:textFill>
            <w14:solidFill>
              <w14:schemeClr w14:val="tx1"/>
            </w14:solidFill>
          </w14:textFill>
        </w:rPr>
      </w:pPr>
      <w:r>
        <w:rPr>
          <w:rFonts w:hint="eastAsia" w:ascii="仿宋" w:hAnsi="仿宋" w:eastAsia="仿宋"/>
          <w:color w:val="000000" w:themeColor="text1"/>
          <w:spacing w:val="-6"/>
          <w:sz w:val="30"/>
          <w:szCs w:val="30"/>
          <w14:textFill>
            <w14:solidFill>
              <w14:schemeClr w14:val="tx1"/>
            </w14:solidFill>
          </w14:textFill>
        </w:rPr>
        <w:t>相关法律、法规、办法和规章规定中的其他义务。</w:t>
      </w:r>
    </w:p>
    <w:p>
      <w:pPr>
        <w:widowControl/>
        <w:numPr>
          <w:ilvl w:val="0"/>
          <w:numId w:val="6"/>
        </w:numPr>
        <w:spacing w:line="540" w:lineRule="exact"/>
        <w:ind w:firstLine="549"/>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未经太平洋安信农业保险股份有限公司事先书面同意，本公司不得转让此声明条款的义务。在遵守前述规定的情况下，此声明条款对双方的继承人和许可的受让人有约束力。</w:t>
      </w:r>
    </w:p>
    <w:p>
      <w:pPr>
        <w:pStyle w:val="19"/>
        <w:widowControl/>
        <w:numPr>
          <w:ilvl w:val="0"/>
          <w:numId w:val="5"/>
        </w:numPr>
        <w:spacing w:line="540" w:lineRule="exact"/>
        <w:ind w:firstLine="549" w:firstLineChars="0"/>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lang w:val="en-US" w:eastAsia="zh-CN"/>
          <w14:textFill>
            <w14:solidFill>
              <w14:schemeClr w14:val="tx1"/>
            </w14:solidFill>
          </w14:textFill>
        </w:rPr>
        <w:t>本公司严格遵守所在地区、国家法律法规，且依循太平洋安信农业保险股份有限公司ＥＳＧ管理相关要求提供优良的产品及服务。</w:t>
      </w:r>
    </w:p>
    <w:p>
      <w:pPr>
        <w:pStyle w:val="19"/>
        <w:widowControl/>
        <w:numPr>
          <w:ilvl w:val="0"/>
          <w:numId w:val="7"/>
        </w:numPr>
        <w:spacing w:line="540" w:lineRule="exact"/>
        <w:ind w:left="549" w:firstLine="0" w:firstLineChars="0"/>
        <w:jc w:val="left"/>
        <w:rPr>
          <w:rFonts w:hint="eastAsia" w:ascii="仿宋" w:hAnsi="仿宋" w:eastAsia="仿宋" w:cs="FZFSJW--GB1-0"/>
          <w:color w:val="000000" w:themeColor="text1"/>
          <w:spacing w:val="-6"/>
          <w:sz w:val="30"/>
          <w:szCs w:val="30"/>
          <w:shd w:val="clear"/>
          <w14:textFill>
            <w14:solidFill>
              <w14:schemeClr w14:val="tx1"/>
            </w14:solidFill>
          </w14:textFill>
        </w:rPr>
      </w:pPr>
      <w:r>
        <w:rPr>
          <w:rFonts w:hint="eastAsia" w:ascii="仿宋" w:hAnsi="仿宋" w:eastAsia="仿宋" w:cs="FZFSJW--GB1-0"/>
          <w:color w:val="000000"/>
          <w:spacing w:val="-6"/>
          <w:sz w:val="30"/>
          <w:szCs w:val="30"/>
          <w:shd w:val="clear" w:fill="auto"/>
        </w:rPr>
        <w:t>建立绿色供应链管理体系，主动承担环境保护等社会责任，</w:t>
      </w:r>
    </w:p>
    <w:p>
      <w:pPr>
        <w:pStyle w:val="19"/>
        <w:widowControl/>
        <w:numPr>
          <w:ilvl w:val="-1"/>
          <w:numId w:val="0"/>
        </w:numPr>
        <w:spacing w:line="540" w:lineRule="exact"/>
        <w:ind w:firstLine="0" w:firstLineChars="0"/>
        <w:jc w:val="left"/>
        <w:rPr>
          <w:rFonts w:hint="eastAsia" w:ascii="仿宋" w:hAnsi="仿宋" w:eastAsia="仿宋" w:cs="FZFSJW--GB1-0"/>
          <w:color w:val="000000"/>
          <w:spacing w:val="-6"/>
          <w:sz w:val="30"/>
          <w:szCs w:val="30"/>
          <w:shd w:val="clear" w:fill="auto"/>
        </w:rPr>
      </w:pPr>
      <w:r>
        <w:rPr>
          <w:rFonts w:hint="eastAsia" w:ascii="仿宋" w:hAnsi="仿宋" w:eastAsia="仿宋" w:cs="FZFSJW--GB1-0"/>
          <w:color w:val="000000"/>
          <w:spacing w:val="-6"/>
          <w:sz w:val="30"/>
          <w:szCs w:val="30"/>
          <w:shd w:val="clear" w:fill="auto"/>
        </w:rPr>
        <w:t>自觉实施和强化绿色采购。</w:t>
      </w:r>
    </w:p>
    <w:p>
      <w:pPr>
        <w:pStyle w:val="19"/>
        <w:widowControl/>
        <w:numPr>
          <w:ilvl w:val="0"/>
          <w:numId w:val="7"/>
        </w:numPr>
        <w:spacing w:line="540" w:lineRule="exact"/>
        <w:ind w:left="549" w:firstLine="0" w:firstLineChars="0"/>
        <w:jc w:val="left"/>
        <w:rPr>
          <w:rFonts w:hint="eastAsia" w:ascii="仿宋" w:hAnsi="仿宋" w:eastAsia="仿宋" w:cs="FZFSJW--GB1-0"/>
          <w:color w:val="000000" w:themeColor="text1"/>
          <w:spacing w:val="-6"/>
          <w:sz w:val="30"/>
          <w:szCs w:val="30"/>
          <w:lang w:val="en-US" w:eastAsia="zh-CN"/>
          <w14:textFill>
            <w14:solidFill>
              <w14:schemeClr w14:val="tx1"/>
            </w14:solidFill>
          </w14:textFill>
        </w:rPr>
      </w:pPr>
      <w:r>
        <w:rPr>
          <w:rFonts w:hint="eastAsia" w:ascii="仿宋" w:hAnsi="仿宋" w:eastAsia="仿宋" w:cs="FZFSJW--GB1-0"/>
          <w:color w:val="333333"/>
          <w:spacing w:val="-6"/>
          <w:sz w:val="30"/>
          <w:szCs w:val="30"/>
        </w:rPr>
        <w:t>提供安全和健康的工作环境</w:t>
      </w:r>
      <w:r>
        <w:rPr>
          <w:rFonts w:hint="eastAsia" w:ascii="仿宋" w:hAnsi="仿宋" w:eastAsia="仿宋" w:cs="FZFSJW--GB1-0"/>
          <w:color w:val="333333"/>
          <w:spacing w:val="-6"/>
          <w:sz w:val="30"/>
          <w:szCs w:val="30"/>
          <w:lang w:eastAsia="zh-CN"/>
        </w:rPr>
        <w:t>，</w:t>
      </w:r>
      <w:r>
        <w:rPr>
          <w:rFonts w:hint="eastAsia" w:ascii="仿宋" w:hAnsi="仿宋" w:eastAsia="仿宋" w:cs="FZFSJW--GB1-0"/>
          <w:color w:val="333333"/>
          <w:spacing w:val="-6"/>
          <w:sz w:val="30"/>
          <w:szCs w:val="30"/>
          <w:lang w:val="en-US" w:eastAsia="zh-CN"/>
        </w:rPr>
        <w:t>防范风险事故，做好应急准</w:t>
      </w:r>
    </w:p>
    <w:p>
      <w:pPr>
        <w:pStyle w:val="19"/>
        <w:widowControl/>
        <w:numPr>
          <w:ilvl w:val="-1"/>
          <w:numId w:val="0"/>
        </w:numPr>
        <w:spacing w:line="540" w:lineRule="exact"/>
        <w:ind w:firstLine="0" w:firstLineChars="0"/>
        <w:jc w:val="left"/>
        <w:rPr>
          <w:rFonts w:hint="eastAsia" w:ascii="仿宋" w:hAnsi="仿宋" w:eastAsia="仿宋" w:cs="FZFSJW--GB1-0"/>
          <w:color w:val="000000"/>
          <w:spacing w:val="-6"/>
          <w:sz w:val="30"/>
          <w:szCs w:val="30"/>
          <w:shd w:val="clear" w:fill="auto"/>
          <w:lang w:val="en-US" w:eastAsia="zh-CN"/>
        </w:rPr>
      </w:pPr>
      <w:r>
        <w:rPr>
          <w:rFonts w:hint="eastAsia" w:ascii="仿宋" w:hAnsi="仿宋" w:eastAsia="仿宋" w:cs="FZFSJW--GB1-0"/>
          <w:color w:val="333333"/>
          <w:spacing w:val="-6"/>
          <w:sz w:val="30"/>
          <w:szCs w:val="30"/>
          <w:lang w:val="en-US" w:eastAsia="zh-CN"/>
        </w:rPr>
        <w:t>备。</w:t>
      </w:r>
    </w:p>
    <w:p>
      <w:pPr>
        <w:pStyle w:val="19"/>
        <w:widowControl/>
        <w:numPr>
          <w:ilvl w:val="0"/>
          <w:numId w:val="7"/>
        </w:numPr>
        <w:spacing w:line="540" w:lineRule="exact"/>
        <w:ind w:left="549" w:firstLine="0" w:firstLineChars="0"/>
        <w:jc w:val="left"/>
        <w:rPr>
          <w:rFonts w:hint="eastAsia" w:ascii="仿宋" w:hAnsi="仿宋" w:eastAsia="仿宋" w:cs="FZFSJW--GB1-0"/>
          <w:color w:val="000000" w:themeColor="text1"/>
          <w:spacing w:val="-6"/>
          <w:sz w:val="30"/>
          <w:szCs w:val="30"/>
          <w:lang w:val="en-US" w:eastAsia="zh-CN"/>
          <w14:textFill>
            <w14:solidFill>
              <w14:schemeClr w14:val="tx1"/>
            </w14:solidFill>
          </w14:textFill>
        </w:rPr>
      </w:pPr>
      <w:r>
        <w:rPr>
          <w:rFonts w:hint="eastAsia" w:ascii="仿宋" w:hAnsi="仿宋" w:eastAsia="仿宋" w:cs="FZFSJW--GB1-0"/>
          <w:color w:val="333333"/>
          <w:spacing w:val="-6"/>
          <w:sz w:val="30"/>
          <w:szCs w:val="30"/>
          <w:lang w:val="en-US" w:eastAsia="zh-CN"/>
        </w:rPr>
        <w:t>严格遵</w:t>
      </w:r>
      <w:r>
        <w:rPr>
          <w:rFonts w:hint="eastAsia" w:ascii="仿宋" w:hAnsi="仿宋" w:eastAsia="仿宋" w:cs="FZFSJW--GB1-0"/>
          <w:color w:val="000000" w:themeColor="text1"/>
          <w:spacing w:val="-6"/>
          <w:sz w:val="30"/>
          <w:szCs w:val="30"/>
          <w:lang w:val="en-US" w:eastAsia="zh-CN"/>
          <w14:textFill>
            <w14:solidFill>
              <w14:schemeClr w14:val="tx1"/>
            </w14:solidFill>
          </w14:textFill>
        </w:rPr>
        <w:t>循与员工权利相关的国家法律、法规，维</w:t>
      </w:r>
      <w:r>
        <w:rPr>
          <w:rFonts w:hint="eastAsia" w:ascii="仿宋" w:hAnsi="仿宋" w:eastAsia="仿宋" w:cs="FZFSJW--GB1-0"/>
          <w:color w:val="333333"/>
          <w:spacing w:val="-6"/>
          <w:sz w:val="30"/>
          <w:szCs w:val="30"/>
        </w:rPr>
        <w:t>护</w:t>
      </w:r>
      <w:r>
        <w:rPr>
          <w:rFonts w:hint="eastAsia" w:ascii="仿宋" w:hAnsi="仿宋" w:eastAsia="仿宋" w:cs="FZFSJW--GB1-0"/>
          <w:color w:val="333333"/>
          <w:spacing w:val="-6"/>
          <w:sz w:val="30"/>
          <w:szCs w:val="30"/>
          <w:lang w:val="en-US" w:eastAsia="zh-CN"/>
        </w:rPr>
        <w:t>员工合法</w:t>
      </w:r>
    </w:p>
    <w:p>
      <w:pPr>
        <w:pStyle w:val="19"/>
        <w:widowControl/>
        <w:numPr>
          <w:ilvl w:val="-1"/>
          <w:numId w:val="0"/>
        </w:numPr>
        <w:spacing w:line="540" w:lineRule="exact"/>
        <w:ind w:firstLine="0" w:firstLineChars="0"/>
        <w:jc w:val="left"/>
        <w:rPr>
          <w:rFonts w:hint="eastAsia" w:ascii="仿宋" w:hAnsi="仿宋" w:eastAsia="仿宋" w:cs="FZFSJW--GB1-0"/>
          <w:color w:val="333333"/>
          <w:spacing w:val="-6"/>
          <w:sz w:val="30"/>
          <w:szCs w:val="30"/>
          <w:lang w:val="en-US" w:eastAsia="zh-CN"/>
        </w:rPr>
      </w:pPr>
      <w:r>
        <w:rPr>
          <w:rFonts w:hint="eastAsia" w:ascii="仿宋" w:hAnsi="仿宋" w:eastAsia="仿宋" w:cs="FZFSJW--GB1-0"/>
          <w:color w:val="333333"/>
          <w:spacing w:val="-6"/>
          <w:sz w:val="30"/>
          <w:szCs w:val="30"/>
          <w:lang w:val="en-US" w:eastAsia="zh-CN"/>
        </w:rPr>
        <w:t>权益。</w:t>
      </w:r>
    </w:p>
    <w:p>
      <w:pPr>
        <w:pStyle w:val="19"/>
        <w:widowControl/>
        <w:numPr>
          <w:ilvl w:val="-1"/>
          <w:numId w:val="0"/>
        </w:numPr>
        <w:spacing w:line="540" w:lineRule="exact"/>
        <w:ind w:firstLine="576" w:firstLineChars="200"/>
        <w:jc w:val="left"/>
        <w:rPr>
          <w:rFonts w:hint="default" w:ascii="仿宋" w:hAnsi="仿宋" w:eastAsia="仿宋" w:cs="FZFSJW--GB1-0"/>
          <w:color w:val="333333"/>
          <w:spacing w:val="-6"/>
          <w:sz w:val="30"/>
          <w:szCs w:val="30"/>
          <w:lang w:val="en-US" w:eastAsia="zh-CN"/>
        </w:rPr>
      </w:pPr>
      <w:r>
        <w:rPr>
          <w:rFonts w:hint="eastAsia" w:ascii="仿宋" w:hAnsi="仿宋" w:eastAsia="仿宋" w:cs="FZFSJW--GB1-0"/>
          <w:color w:val="333333"/>
          <w:spacing w:val="-6"/>
          <w:sz w:val="30"/>
          <w:szCs w:val="30"/>
          <w:lang w:val="en-US" w:eastAsia="zh-CN"/>
        </w:rPr>
        <w:t>4.严格</w:t>
      </w:r>
      <w:r>
        <w:rPr>
          <w:rFonts w:hint="eastAsia" w:ascii="仿宋" w:hAnsi="仿宋" w:eastAsia="仿宋" w:cs="FZFSJW--GB1-0"/>
          <w:color w:val="000000" w:themeColor="text1"/>
          <w:spacing w:val="-6"/>
          <w:sz w:val="30"/>
          <w:szCs w:val="30"/>
          <w:lang w:val="en-US" w:eastAsia="zh-CN"/>
          <w14:textFill>
            <w14:solidFill>
              <w14:schemeClr w14:val="tx1"/>
            </w14:solidFill>
          </w14:textFill>
        </w:rPr>
        <w:t>遵守反贿赂、反贪污、反虚假宣传等不正当商业行为有关的法律规定。</w:t>
      </w:r>
    </w:p>
    <w:p>
      <w:pPr>
        <w:pStyle w:val="19"/>
        <w:widowControl/>
        <w:numPr>
          <w:ilvl w:val="0"/>
          <w:numId w:val="5"/>
        </w:numPr>
        <w:spacing w:line="540" w:lineRule="exact"/>
        <w:ind w:firstLine="549" w:firstLineChars="0"/>
        <w:jc w:val="left"/>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本声明的成立、生效、履行和解释，均适用于中华人民共和国法律；法律无明文规定的，可适用通行的交易惯例。</w:t>
      </w:r>
    </w:p>
    <w:p>
      <w:pPr>
        <w:pStyle w:val="19"/>
        <w:widowControl/>
        <w:numPr>
          <w:ilvl w:val="0"/>
          <w:numId w:val="5"/>
        </w:numPr>
        <w:spacing w:line="540" w:lineRule="exact"/>
        <w:ind w:firstLine="549" w:firstLineChars="0"/>
        <w:rPr>
          <w:rFonts w:ascii="仿宋" w:hAnsi="仿宋" w:eastAsia="仿宋" w:cs="FZFSJW--GB1-0"/>
          <w:color w:val="000000" w:themeColor="text1"/>
          <w:spacing w:val="-6"/>
          <w:sz w:val="30"/>
          <w:szCs w:val="30"/>
          <w14:textFill>
            <w14:solidFill>
              <w14:schemeClr w14:val="tx1"/>
            </w14:solidFill>
          </w14:textFill>
        </w:rPr>
      </w:pPr>
      <w:r>
        <w:rPr>
          <w:rFonts w:hint="eastAsia" w:ascii="仿宋" w:hAnsi="仿宋" w:eastAsia="仿宋" w:cs="FZFSJW--GB1-0"/>
          <w:color w:val="000000" w:themeColor="text1"/>
          <w:spacing w:val="-6"/>
          <w:sz w:val="30"/>
          <w:szCs w:val="30"/>
          <w14:textFill>
            <w14:solidFill>
              <w14:schemeClr w14:val="tx1"/>
            </w14:solidFill>
          </w14:textFill>
        </w:rPr>
        <w:t>本声明由本公司加盖公章后生效。若本公司需终止声明，在提交书面说明并经太平洋安信农业保险股份有限公司书面同意后本声明终止。如本公司出现违约或违法违规行为，承诺按照太平洋安信农业保险股份有限公司相关规定办法进行惩处。</w:t>
      </w:r>
    </w:p>
    <w:p>
      <w:pPr>
        <w:widowControl/>
        <w:spacing w:line="540" w:lineRule="exact"/>
        <w:ind w:firstLine="578" w:firstLineChars="200"/>
        <w:jc w:val="left"/>
        <w:rPr>
          <w:rFonts w:ascii="仿宋" w:hAnsi="仿宋" w:eastAsia="仿宋" w:cs="FZFSJW--GB1-0"/>
          <w:b/>
          <w:spacing w:val="-6"/>
          <w:sz w:val="30"/>
          <w:szCs w:val="30"/>
        </w:rPr>
      </w:pPr>
      <w:r>
        <w:rPr>
          <w:rFonts w:hint="eastAsia" w:ascii="仿宋" w:hAnsi="仿宋" w:eastAsia="仿宋" w:cs="FZFSJW--GB1-0"/>
          <w:b/>
          <w:spacing w:val="-6"/>
          <w:sz w:val="30"/>
          <w:szCs w:val="30"/>
        </w:rPr>
        <w:t>以上条款，</w:t>
      </w:r>
      <w:r>
        <w:rPr>
          <w:rFonts w:hint="eastAsia" w:ascii="仿宋" w:hAnsi="仿宋" w:eastAsia="仿宋" w:cs="Arial"/>
          <w:b/>
          <w:color w:val="333333"/>
          <w:spacing w:val="-6"/>
          <w:sz w:val="30"/>
          <w:szCs w:val="30"/>
        </w:rPr>
        <w:t>若有违反任意一条，本公司自愿接受相应处罚</w:t>
      </w:r>
      <w:r>
        <w:rPr>
          <w:rFonts w:hint="eastAsia" w:ascii="仿宋" w:hAnsi="仿宋" w:eastAsia="仿宋" w:cs="宋体"/>
          <w:b/>
          <w:spacing w:val="-6"/>
          <w:sz w:val="30"/>
          <w:szCs w:val="30"/>
        </w:rPr>
        <w:t>，特此声明！</w:t>
      </w:r>
    </w:p>
    <w:p>
      <w:pPr>
        <w:widowControl/>
        <w:spacing w:line="540" w:lineRule="exact"/>
        <w:jc w:val="left"/>
        <w:rPr>
          <w:rFonts w:ascii="仿宋" w:hAnsi="仿宋" w:eastAsia="仿宋" w:cs="FZFSJW--GB1-0"/>
          <w:spacing w:val="-6"/>
          <w:sz w:val="30"/>
          <w:szCs w:val="30"/>
        </w:rPr>
      </w:pPr>
    </w:p>
    <w:p>
      <w:pPr>
        <w:widowControl/>
        <w:spacing w:line="540" w:lineRule="exact"/>
        <w:jc w:val="left"/>
        <w:rPr>
          <w:rFonts w:ascii="仿宋" w:hAnsi="仿宋" w:eastAsia="仿宋" w:cs="FZFSJW--GB1-0"/>
          <w:spacing w:val="-6"/>
          <w:sz w:val="30"/>
          <w:szCs w:val="30"/>
        </w:rPr>
      </w:pPr>
    </w:p>
    <w:p>
      <w:pPr>
        <w:widowControl/>
        <w:spacing w:line="540" w:lineRule="exact"/>
        <w:jc w:val="left"/>
        <w:rPr>
          <w:rFonts w:ascii="仿宋" w:hAnsi="仿宋" w:eastAsia="仿宋" w:cs="FZFSJW--GB1-0"/>
          <w:spacing w:val="-6"/>
          <w:sz w:val="30"/>
          <w:szCs w:val="30"/>
        </w:rPr>
      </w:pPr>
      <w:r>
        <w:rPr>
          <w:rFonts w:hint="eastAsia" w:ascii="仿宋" w:hAnsi="仿宋" w:eastAsia="仿宋" w:cs="FZFSJW--GB1-0"/>
          <w:spacing w:val="-6"/>
          <w:sz w:val="30"/>
          <w:szCs w:val="30"/>
        </w:rPr>
        <w:t>法定代表人或授权代表签字：</w:t>
      </w:r>
    </w:p>
    <w:p>
      <w:pPr>
        <w:widowControl/>
        <w:spacing w:line="540" w:lineRule="exact"/>
        <w:jc w:val="left"/>
        <w:rPr>
          <w:rFonts w:ascii="仿宋" w:hAnsi="仿宋" w:eastAsia="仿宋" w:cs="FZFSJW--GB1-0"/>
          <w:spacing w:val="-6"/>
          <w:sz w:val="30"/>
          <w:szCs w:val="30"/>
        </w:rPr>
      </w:pPr>
      <w:r>
        <w:rPr>
          <w:rFonts w:hint="eastAsia" w:ascii="仿宋" w:hAnsi="仿宋" w:eastAsia="仿宋" w:cs="FZFSJW--GB1-0"/>
          <w:spacing w:val="-6"/>
          <w:sz w:val="30"/>
          <w:szCs w:val="30"/>
        </w:rPr>
        <w:t>公司（公章）：</w:t>
      </w:r>
    </w:p>
    <w:p>
      <w:pPr>
        <w:widowControl/>
        <w:spacing w:line="540" w:lineRule="exact"/>
        <w:jc w:val="left"/>
        <w:rPr>
          <w:rFonts w:ascii="仿宋" w:hAnsi="仿宋" w:eastAsia="仿宋" w:cs="FZFSJW--GB1-0"/>
          <w:spacing w:val="-6"/>
          <w:sz w:val="30"/>
          <w:szCs w:val="30"/>
        </w:rPr>
      </w:pPr>
      <w:r>
        <w:rPr>
          <w:rFonts w:hint="eastAsia" w:ascii="仿宋" w:hAnsi="仿宋" w:eastAsia="仿宋" w:cs="FZFSJW--GB1-0"/>
          <w:spacing w:val="-6"/>
          <w:sz w:val="30"/>
          <w:szCs w:val="30"/>
        </w:rPr>
        <w:t xml:space="preserve">声明签署地：上海市      </w:t>
      </w:r>
    </w:p>
    <w:p>
      <w:pPr>
        <w:spacing w:line="540" w:lineRule="exact"/>
        <w:rPr>
          <w:rFonts w:ascii="华文细黑" w:hAnsi="华文细黑" w:eastAsia="华文细黑"/>
          <w:b/>
          <w:bCs/>
          <w:szCs w:val="21"/>
        </w:rPr>
      </w:pPr>
      <w:r>
        <w:rPr>
          <w:rFonts w:hint="eastAsia" w:ascii="仿宋" w:hAnsi="仿宋" w:eastAsia="仿宋"/>
          <w:spacing w:val="-6"/>
          <w:sz w:val="30"/>
          <w:szCs w:val="30"/>
        </w:rPr>
        <w:t xml:space="preserve">                                        年    月    </w:t>
      </w:r>
      <w:r>
        <w:rPr>
          <w:rFonts w:hint="eastAsia" w:ascii="仿宋" w:hAnsi="仿宋" w:eastAsia="仿宋"/>
          <w:spacing w:val="-6"/>
          <w:sz w:val="30"/>
          <w:szCs w:val="30"/>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Futura Bk">
    <w:altName w:val="Segoe Print"/>
    <w:panose1 w:val="00000000000000000000"/>
    <w:charset w:val="00"/>
    <w:family w:val="swiss"/>
    <w:pitch w:val="default"/>
    <w:sig w:usb0="00000000" w:usb1="00000000" w:usb2="00000000" w:usb3="00000000" w:csb0="0000009F" w:csb1="00000000"/>
  </w:font>
  <w:font w:name="Garamond">
    <w:altName w:val="Segoe Print"/>
    <w:panose1 w:val="02020404030301010803"/>
    <w:charset w:val="00"/>
    <w:family w:val="roman"/>
    <w:pitch w:val="default"/>
    <w:sig w:usb0="00000000" w:usb1="00000000" w:usb2="00000000" w:usb3="00000000" w:csb0="0000009F" w:csb1="00000000"/>
  </w:font>
  <w:font w:name="仿宋">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FZFSJW--GB1-0">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fldChar w:fldCharType="begin"/>
    </w:r>
    <w:r>
      <w:rPr>
        <w:rStyle w:val="14"/>
      </w:rPr>
      <w:instrText xml:space="preserve">PAGE  </w:instrText>
    </w:r>
    <w:r>
      <w:fldChar w:fldCharType="separate"/>
    </w:r>
    <w:r>
      <w:rPr>
        <w:rStyle w:val="14"/>
      </w:rPr>
      <w:t>15</w:t>
    </w:r>
    <w:r>
      <w:fldChar w:fldCharType="end"/>
    </w:r>
  </w:p>
  <w:p>
    <w:pPr>
      <w:pStyle w:val="8"/>
      <w:jc w:val="center"/>
      <w:rPr>
        <w:rFonts w:ascii="Arial" w:hAnsi="Arial" w:cs="Arial"/>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rPr>
      <w:t>太平洋安信农业保险股份有限公司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4E2DD4"/>
    <w:multiLevelType w:val="singleLevel"/>
    <w:tmpl w:val="C04E2DD4"/>
    <w:lvl w:ilvl="0" w:tentative="0">
      <w:start w:val="1"/>
      <w:numFmt w:val="decimal"/>
      <w:suff w:val="nothing"/>
      <w:lvlText w:val="%1）"/>
      <w:lvlJc w:val="left"/>
    </w:lvl>
  </w:abstractNum>
  <w:abstractNum w:abstractNumId="1">
    <w:nsid w:val="D3BC3F36"/>
    <w:multiLevelType w:val="singleLevel"/>
    <w:tmpl w:val="D3BC3F36"/>
    <w:lvl w:ilvl="0" w:tentative="0">
      <w:start w:val="1"/>
      <w:numFmt w:val="chineseCounting"/>
      <w:suff w:val="nothing"/>
      <w:lvlText w:val="%1、"/>
      <w:lvlJc w:val="left"/>
      <w:rPr>
        <w:rFonts w:hint="eastAsia"/>
      </w:rPr>
    </w:lvl>
  </w:abstractNum>
  <w:abstractNum w:abstractNumId="2">
    <w:nsid w:val="E7F511F9"/>
    <w:multiLevelType w:val="multilevel"/>
    <w:tmpl w:val="E7F511F9"/>
    <w:lvl w:ilvl="0" w:tentative="0">
      <w:start w:val="1"/>
      <w:numFmt w:val="decimal"/>
      <w:suff w:val="space"/>
      <w:lvlText w:val="%1."/>
      <w:lvlJc w:val="left"/>
      <w:pPr>
        <w:ind w:left="-62" w:firstLine="522"/>
      </w:pPr>
      <w:rPr>
        <w:rFonts w:hint="default"/>
      </w:rPr>
    </w:lvl>
    <w:lvl w:ilvl="1" w:tentative="0">
      <w:start w:val="1"/>
      <w:numFmt w:val="decimal"/>
      <w:lvlText w:val="%1.%2."/>
      <w:lvlJc w:val="left"/>
      <w:pPr>
        <w:tabs>
          <w:tab w:val="left" w:pos="312"/>
        </w:tabs>
        <w:ind w:left="0" w:firstLine="0"/>
      </w:pPr>
      <w:rPr>
        <w:rFonts w:hint="default"/>
      </w:rPr>
    </w:lvl>
    <w:lvl w:ilvl="2" w:tentative="0">
      <w:start w:val="1"/>
      <w:numFmt w:val="decimal"/>
      <w:lvlText w:val="%1.%2.%3."/>
      <w:lvlJc w:val="left"/>
      <w:pPr>
        <w:tabs>
          <w:tab w:val="left" w:pos="312"/>
        </w:tabs>
        <w:ind w:left="0" w:firstLine="0"/>
      </w:pPr>
      <w:rPr>
        <w:rFonts w:hint="default"/>
      </w:rPr>
    </w:lvl>
    <w:lvl w:ilvl="3" w:tentative="0">
      <w:start w:val="1"/>
      <w:numFmt w:val="decimal"/>
      <w:lvlText w:val="%1.%2.%3.%4."/>
      <w:lvlJc w:val="left"/>
      <w:pPr>
        <w:tabs>
          <w:tab w:val="left" w:pos="312"/>
        </w:tabs>
        <w:ind w:left="0" w:firstLine="0"/>
      </w:pPr>
      <w:rPr>
        <w:rFonts w:hint="default"/>
      </w:rPr>
    </w:lvl>
    <w:lvl w:ilvl="4" w:tentative="0">
      <w:start w:val="1"/>
      <w:numFmt w:val="decimal"/>
      <w:lvlText w:val="%1.%2.%3.%4.%5."/>
      <w:lvlJc w:val="left"/>
      <w:pPr>
        <w:tabs>
          <w:tab w:val="left" w:pos="312"/>
        </w:tabs>
        <w:ind w:left="0" w:firstLine="0"/>
      </w:pPr>
      <w:rPr>
        <w:rFonts w:hint="default"/>
      </w:rPr>
    </w:lvl>
    <w:lvl w:ilvl="5" w:tentative="0">
      <w:start w:val="1"/>
      <w:numFmt w:val="decimal"/>
      <w:lvlText w:val="%1.%2.%3.%4.%5.%6."/>
      <w:lvlJc w:val="left"/>
      <w:pPr>
        <w:tabs>
          <w:tab w:val="left" w:pos="312"/>
        </w:tabs>
        <w:ind w:left="0" w:firstLine="0"/>
      </w:pPr>
      <w:rPr>
        <w:rFonts w:hint="default"/>
      </w:rPr>
    </w:lvl>
    <w:lvl w:ilvl="6" w:tentative="0">
      <w:start w:val="1"/>
      <w:numFmt w:val="decimal"/>
      <w:lvlText w:val="%1.%2.%3.%4.%5.%6.%7."/>
      <w:lvlJc w:val="left"/>
      <w:pPr>
        <w:tabs>
          <w:tab w:val="left" w:pos="312"/>
        </w:tabs>
        <w:ind w:left="0" w:firstLine="0"/>
      </w:pPr>
      <w:rPr>
        <w:rFonts w:hint="default"/>
      </w:rPr>
    </w:lvl>
    <w:lvl w:ilvl="7" w:tentative="0">
      <w:start w:val="1"/>
      <w:numFmt w:val="decimal"/>
      <w:lvlText w:val="%1.%2.%3.%4.%5.%6.%7.%8."/>
      <w:lvlJc w:val="left"/>
      <w:pPr>
        <w:tabs>
          <w:tab w:val="left" w:pos="312"/>
        </w:tabs>
        <w:ind w:left="0" w:firstLine="0"/>
      </w:pPr>
      <w:rPr>
        <w:rFonts w:hint="default"/>
      </w:rPr>
    </w:lvl>
    <w:lvl w:ilvl="8" w:tentative="0">
      <w:start w:val="1"/>
      <w:numFmt w:val="decimal"/>
      <w:lvlText w:val="%1.%2.%3.%4.%5.%6.%7.%8.%9."/>
      <w:lvlJc w:val="left"/>
      <w:pPr>
        <w:tabs>
          <w:tab w:val="left" w:pos="312"/>
        </w:tabs>
        <w:ind w:left="0" w:firstLine="0"/>
      </w:pPr>
      <w:rPr>
        <w:rFonts w:hint="default"/>
      </w:rPr>
    </w:lvl>
  </w:abstractNum>
  <w:abstractNum w:abstractNumId="3">
    <w:nsid w:val="00000003"/>
    <w:multiLevelType w:val="multilevel"/>
    <w:tmpl w:val="00000003"/>
    <w:lvl w:ilvl="0" w:tentative="0">
      <w:start w:val="1"/>
      <w:numFmt w:val="decimal"/>
      <w:pStyle w:val="22"/>
      <w:lvlText w:val="%1"/>
      <w:lvlJc w:val="left"/>
      <w:pPr>
        <w:tabs>
          <w:tab w:val="left" w:pos="432"/>
        </w:tabs>
        <w:ind w:left="432" w:hanging="432"/>
      </w:pPr>
    </w:lvl>
    <w:lvl w:ilvl="1" w:tentative="0">
      <w:start w:val="1"/>
      <w:numFmt w:val="decimal"/>
      <w:pStyle w:val="21"/>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4">
    <w:nsid w:val="1F343E3A"/>
    <w:multiLevelType w:val="multilevel"/>
    <w:tmpl w:val="1F343E3A"/>
    <w:lvl w:ilvl="0" w:tentative="0">
      <w:start w:val="1"/>
      <w:numFmt w:val="decimal"/>
      <w:lvlText w:val="%1."/>
      <w:lvlJc w:val="left"/>
      <w:pPr>
        <w:ind w:left="0" w:hanging="420"/>
      </w:p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5">
    <w:nsid w:val="4AE8F486"/>
    <w:multiLevelType w:val="singleLevel"/>
    <w:tmpl w:val="4AE8F486"/>
    <w:lvl w:ilvl="0" w:tentative="0">
      <w:start w:val="1"/>
      <w:numFmt w:val="decimal"/>
      <w:lvlText w:val="%1."/>
      <w:lvlJc w:val="left"/>
      <w:pPr>
        <w:tabs>
          <w:tab w:val="left" w:pos="312"/>
        </w:tabs>
      </w:pPr>
    </w:lvl>
  </w:abstractNum>
  <w:abstractNum w:abstractNumId="6">
    <w:nsid w:val="4D5D39C7"/>
    <w:multiLevelType w:val="multilevel"/>
    <w:tmpl w:val="4D5D39C7"/>
    <w:lvl w:ilvl="0" w:tentative="0">
      <w:start w:val="1"/>
      <w:numFmt w:val="japaneseCounting"/>
      <w:lvlText w:val="第%1条"/>
      <w:lvlJc w:val="left"/>
      <w:pPr>
        <w:ind w:left="0" w:hanging="1695"/>
      </w:pPr>
      <w:rPr>
        <w:rFonts w:hint="eastAsia" w:ascii="仿宋_GB2312" w:eastAsia="仿宋_GB2312" w:hAnsiTheme="minorEastAsia"/>
        <w:b/>
        <w:lang w:val="en-US"/>
      </w:rPr>
    </w:lvl>
    <w:lvl w:ilvl="1" w:tentative="0">
      <w:start w:val="1"/>
      <w:numFmt w:val="lowerLetter"/>
      <w:lvlText w:val="%2)"/>
      <w:lvlJc w:val="left"/>
      <w:pPr>
        <w:ind w:left="-855" w:hanging="420"/>
      </w:pPr>
    </w:lvl>
    <w:lvl w:ilvl="2" w:tentative="0">
      <w:start w:val="1"/>
      <w:numFmt w:val="lowerRoman"/>
      <w:lvlText w:val="%3."/>
      <w:lvlJc w:val="right"/>
      <w:pPr>
        <w:ind w:left="-435" w:hanging="420"/>
      </w:pPr>
    </w:lvl>
    <w:lvl w:ilvl="3" w:tentative="0">
      <w:start w:val="1"/>
      <w:numFmt w:val="decimal"/>
      <w:lvlText w:val="%4."/>
      <w:lvlJc w:val="left"/>
      <w:pPr>
        <w:ind w:left="-15" w:hanging="420"/>
      </w:pPr>
    </w:lvl>
    <w:lvl w:ilvl="4" w:tentative="0">
      <w:start w:val="1"/>
      <w:numFmt w:val="lowerLetter"/>
      <w:lvlText w:val="%5)"/>
      <w:lvlJc w:val="left"/>
      <w:pPr>
        <w:ind w:left="405" w:hanging="420"/>
      </w:pPr>
    </w:lvl>
    <w:lvl w:ilvl="5" w:tentative="0">
      <w:start w:val="1"/>
      <w:numFmt w:val="lowerRoman"/>
      <w:lvlText w:val="%6."/>
      <w:lvlJc w:val="right"/>
      <w:pPr>
        <w:ind w:left="825" w:hanging="420"/>
      </w:pPr>
    </w:lvl>
    <w:lvl w:ilvl="6" w:tentative="0">
      <w:start w:val="1"/>
      <w:numFmt w:val="decimal"/>
      <w:lvlText w:val="%7."/>
      <w:lvlJc w:val="left"/>
      <w:pPr>
        <w:ind w:left="1245" w:hanging="420"/>
      </w:pPr>
    </w:lvl>
    <w:lvl w:ilvl="7" w:tentative="0">
      <w:start w:val="1"/>
      <w:numFmt w:val="lowerLetter"/>
      <w:lvlText w:val="%8)"/>
      <w:lvlJc w:val="left"/>
      <w:pPr>
        <w:ind w:left="1665" w:hanging="420"/>
      </w:pPr>
    </w:lvl>
    <w:lvl w:ilvl="8" w:tentative="0">
      <w:start w:val="1"/>
      <w:numFmt w:val="lowerRoman"/>
      <w:lvlText w:val="%9."/>
      <w:lvlJc w:val="right"/>
      <w:pPr>
        <w:ind w:left="2085" w:hanging="420"/>
      </w:pPr>
    </w:lvl>
  </w:abstractNum>
  <w:num w:numId="1">
    <w:abstractNumId w:val="3"/>
  </w:num>
  <w:num w:numId="2">
    <w:abstractNumId w:val="1"/>
  </w:num>
  <w:num w:numId="3">
    <w:abstractNumId w:val="2"/>
  </w:num>
  <w:num w:numId="4">
    <w:abstractNumId w:val="0"/>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2MTlmZTkwZjE4MzYyMjRhNzQ4ZDkyZjRlMGRlM2UifQ=="/>
  </w:docVars>
  <w:rsids>
    <w:rsidRoot w:val="7F0E237D"/>
    <w:rsid w:val="00047257"/>
    <w:rsid w:val="000A111C"/>
    <w:rsid w:val="000B5ABD"/>
    <w:rsid w:val="000C2DD2"/>
    <w:rsid w:val="000C3EB2"/>
    <w:rsid w:val="000E1515"/>
    <w:rsid w:val="000F5986"/>
    <w:rsid w:val="000F6441"/>
    <w:rsid w:val="00140723"/>
    <w:rsid w:val="00180505"/>
    <w:rsid w:val="001827B1"/>
    <w:rsid w:val="001B5D5C"/>
    <w:rsid w:val="00250B72"/>
    <w:rsid w:val="00292A78"/>
    <w:rsid w:val="002E1289"/>
    <w:rsid w:val="002E7E75"/>
    <w:rsid w:val="0035059E"/>
    <w:rsid w:val="003735F0"/>
    <w:rsid w:val="003B7F70"/>
    <w:rsid w:val="003D6824"/>
    <w:rsid w:val="003F168F"/>
    <w:rsid w:val="004473F5"/>
    <w:rsid w:val="004F5880"/>
    <w:rsid w:val="0051092A"/>
    <w:rsid w:val="005547B6"/>
    <w:rsid w:val="005E7F0F"/>
    <w:rsid w:val="006114BF"/>
    <w:rsid w:val="00626D6B"/>
    <w:rsid w:val="00632986"/>
    <w:rsid w:val="00665BB0"/>
    <w:rsid w:val="006814FD"/>
    <w:rsid w:val="006B7C49"/>
    <w:rsid w:val="0073210F"/>
    <w:rsid w:val="00767989"/>
    <w:rsid w:val="007943A7"/>
    <w:rsid w:val="007A0407"/>
    <w:rsid w:val="007A0483"/>
    <w:rsid w:val="007B4127"/>
    <w:rsid w:val="007C31D3"/>
    <w:rsid w:val="00803687"/>
    <w:rsid w:val="00877BDB"/>
    <w:rsid w:val="008B7D4B"/>
    <w:rsid w:val="008D0D5E"/>
    <w:rsid w:val="008D2CA4"/>
    <w:rsid w:val="008F2996"/>
    <w:rsid w:val="00937A7C"/>
    <w:rsid w:val="0097775D"/>
    <w:rsid w:val="00A27F9F"/>
    <w:rsid w:val="00A604CF"/>
    <w:rsid w:val="00A74B50"/>
    <w:rsid w:val="00A808F9"/>
    <w:rsid w:val="00A909F6"/>
    <w:rsid w:val="00AC2573"/>
    <w:rsid w:val="00AC4246"/>
    <w:rsid w:val="00AD25C5"/>
    <w:rsid w:val="00AD4C3A"/>
    <w:rsid w:val="00AF1EB6"/>
    <w:rsid w:val="00AF6521"/>
    <w:rsid w:val="00B26B2E"/>
    <w:rsid w:val="00B332A6"/>
    <w:rsid w:val="00B345AC"/>
    <w:rsid w:val="00B45A43"/>
    <w:rsid w:val="00B4637D"/>
    <w:rsid w:val="00B52F84"/>
    <w:rsid w:val="00B63B77"/>
    <w:rsid w:val="00BB41E9"/>
    <w:rsid w:val="00BD7A42"/>
    <w:rsid w:val="00C259FB"/>
    <w:rsid w:val="00C3005A"/>
    <w:rsid w:val="00C31BD4"/>
    <w:rsid w:val="00C54605"/>
    <w:rsid w:val="00CD3D27"/>
    <w:rsid w:val="00D03CAB"/>
    <w:rsid w:val="00D04890"/>
    <w:rsid w:val="00DC02D9"/>
    <w:rsid w:val="00DE67C3"/>
    <w:rsid w:val="00E451C3"/>
    <w:rsid w:val="00E87685"/>
    <w:rsid w:val="00EB4CFC"/>
    <w:rsid w:val="00ED3549"/>
    <w:rsid w:val="00EF6602"/>
    <w:rsid w:val="00F76EE7"/>
    <w:rsid w:val="00FD5BD7"/>
    <w:rsid w:val="01376E0A"/>
    <w:rsid w:val="015A6B8C"/>
    <w:rsid w:val="017B59D7"/>
    <w:rsid w:val="01806305"/>
    <w:rsid w:val="01882199"/>
    <w:rsid w:val="01AA4B41"/>
    <w:rsid w:val="01BD420B"/>
    <w:rsid w:val="01C20BC9"/>
    <w:rsid w:val="01D54B64"/>
    <w:rsid w:val="01D837DB"/>
    <w:rsid w:val="01FB23CB"/>
    <w:rsid w:val="022A1D94"/>
    <w:rsid w:val="02736B92"/>
    <w:rsid w:val="028C553E"/>
    <w:rsid w:val="02FA438B"/>
    <w:rsid w:val="03174FA1"/>
    <w:rsid w:val="0343690F"/>
    <w:rsid w:val="03543C79"/>
    <w:rsid w:val="035E5896"/>
    <w:rsid w:val="0361681B"/>
    <w:rsid w:val="03967BEE"/>
    <w:rsid w:val="03AE7E78"/>
    <w:rsid w:val="03DE1667"/>
    <w:rsid w:val="03EF666B"/>
    <w:rsid w:val="043B7CAA"/>
    <w:rsid w:val="04467D92"/>
    <w:rsid w:val="04692C5A"/>
    <w:rsid w:val="04822939"/>
    <w:rsid w:val="048961CB"/>
    <w:rsid w:val="05093353"/>
    <w:rsid w:val="05384E81"/>
    <w:rsid w:val="054E05C4"/>
    <w:rsid w:val="056F2CF7"/>
    <w:rsid w:val="0586071E"/>
    <w:rsid w:val="05980638"/>
    <w:rsid w:val="05CE4396"/>
    <w:rsid w:val="05EC7545"/>
    <w:rsid w:val="06071F71"/>
    <w:rsid w:val="06422246"/>
    <w:rsid w:val="066C39F1"/>
    <w:rsid w:val="068A45A8"/>
    <w:rsid w:val="06C248A3"/>
    <w:rsid w:val="06FA6A74"/>
    <w:rsid w:val="070764D6"/>
    <w:rsid w:val="072006F5"/>
    <w:rsid w:val="0748100D"/>
    <w:rsid w:val="07824CE1"/>
    <w:rsid w:val="078A3EBB"/>
    <w:rsid w:val="079216F8"/>
    <w:rsid w:val="07AC659B"/>
    <w:rsid w:val="07BD0400"/>
    <w:rsid w:val="07E94F96"/>
    <w:rsid w:val="081A6159"/>
    <w:rsid w:val="082B1C77"/>
    <w:rsid w:val="082D0D5E"/>
    <w:rsid w:val="087462C7"/>
    <w:rsid w:val="08945A78"/>
    <w:rsid w:val="08A53DAB"/>
    <w:rsid w:val="08C96603"/>
    <w:rsid w:val="09205A07"/>
    <w:rsid w:val="092B5F96"/>
    <w:rsid w:val="093C2632"/>
    <w:rsid w:val="094E48C6"/>
    <w:rsid w:val="095B6D27"/>
    <w:rsid w:val="096A7D16"/>
    <w:rsid w:val="09742F12"/>
    <w:rsid w:val="09793B17"/>
    <w:rsid w:val="09B55400"/>
    <w:rsid w:val="09BC3307"/>
    <w:rsid w:val="09F148B1"/>
    <w:rsid w:val="09FF5075"/>
    <w:rsid w:val="0A4A209B"/>
    <w:rsid w:val="0A53127C"/>
    <w:rsid w:val="0A6F59B7"/>
    <w:rsid w:val="0A7626FD"/>
    <w:rsid w:val="0A8600C0"/>
    <w:rsid w:val="0ACF5720"/>
    <w:rsid w:val="0AF12519"/>
    <w:rsid w:val="0B20514C"/>
    <w:rsid w:val="0B446AEB"/>
    <w:rsid w:val="0B74045A"/>
    <w:rsid w:val="0BAD643E"/>
    <w:rsid w:val="0BB41243"/>
    <w:rsid w:val="0BD75BB1"/>
    <w:rsid w:val="0BD83B6C"/>
    <w:rsid w:val="0BF50334"/>
    <w:rsid w:val="0C0E180A"/>
    <w:rsid w:val="0C7C6167"/>
    <w:rsid w:val="0C906CCE"/>
    <w:rsid w:val="0C9D11C1"/>
    <w:rsid w:val="0CE54E38"/>
    <w:rsid w:val="0CFF33BC"/>
    <w:rsid w:val="0D813111"/>
    <w:rsid w:val="0DB06633"/>
    <w:rsid w:val="0DD2684F"/>
    <w:rsid w:val="0DD552DC"/>
    <w:rsid w:val="0E4A2181"/>
    <w:rsid w:val="0EC54049"/>
    <w:rsid w:val="0EC833AD"/>
    <w:rsid w:val="0EE35D7A"/>
    <w:rsid w:val="0EF00A80"/>
    <w:rsid w:val="0F351964"/>
    <w:rsid w:val="0F763E6D"/>
    <w:rsid w:val="0F824086"/>
    <w:rsid w:val="0F8A78A2"/>
    <w:rsid w:val="0F997115"/>
    <w:rsid w:val="0FA93371"/>
    <w:rsid w:val="0FB43951"/>
    <w:rsid w:val="0FC33F6C"/>
    <w:rsid w:val="106355D0"/>
    <w:rsid w:val="107D0655"/>
    <w:rsid w:val="108252A3"/>
    <w:rsid w:val="109064E8"/>
    <w:rsid w:val="109F5452"/>
    <w:rsid w:val="10A854E3"/>
    <w:rsid w:val="10A9313E"/>
    <w:rsid w:val="10E02E12"/>
    <w:rsid w:val="10E55348"/>
    <w:rsid w:val="11051582"/>
    <w:rsid w:val="114E0F8C"/>
    <w:rsid w:val="11834FC5"/>
    <w:rsid w:val="119921B4"/>
    <w:rsid w:val="11DD425B"/>
    <w:rsid w:val="11EB3571"/>
    <w:rsid w:val="1239627B"/>
    <w:rsid w:val="12503FC7"/>
    <w:rsid w:val="129A09D5"/>
    <w:rsid w:val="129E662F"/>
    <w:rsid w:val="12CC67E0"/>
    <w:rsid w:val="12CE1E47"/>
    <w:rsid w:val="12D0036B"/>
    <w:rsid w:val="12E06408"/>
    <w:rsid w:val="130B7C25"/>
    <w:rsid w:val="131C13C7"/>
    <w:rsid w:val="13517563"/>
    <w:rsid w:val="13A0596C"/>
    <w:rsid w:val="13BE3893"/>
    <w:rsid w:val="13BF0F6B"/>
    <w:rsid w:val="13CB794C"/>
    <w:rsid w:val="13CF248D"/>
    <w:rsid w:val="13D9661F"/>
    <w:rsid w:val="13EE20C3"/>
    <w:rsid w:val="13FD7AD9"/>
    <w:rsid w:val="140F367E"/>
    <w:rsid w:val="143534B6"/>
    <w:rsid w:val="1458496F"/>
    <w:rsid w:val="14696A03"/>
    <w:rsid w:val="148E0DD7"/>
    <w:rsid w:val="149215E4"/>
    <w:rsid w:val="1493535D"/>
    <w:rsid w:val="14AC0B76"/>
    <w:rsid w:val="150F669C"/>
    <w:rsid w:val="15863D5C"/>
    <w:rsid w:val="15981F0D"/>
    <w:rsid w:val="15A000A7"/>
    <w:rsid w:val="15C838CC"/>
    <w:rsid w:val="164C2821"/>
    <w:rsid w:val="16620247"/>
    <w:rsid w:val="166D65D9"/>
    <w:rsid w:val="167F1D76"/>
    <w:rsid w:val="16B71ED0"/>
    <w:rsid w:val="16C5620B"/>
    <w:rsid w:val="16C72982"/>
    <w:rsid w:val="16D762C1"/>
    <w:rsid w:val="171A79F6"/>
    <w:rsid w:val="174C74BF"/>
    <w:rsid w:val="1763366E"/>
    <w:rsid w:val="178D396D"/>
    <w:rsid w:val="17F82CD2"/>
    <w:rsid w:val="17FA7064"/>
    <w:rsid w:val="18216F24"/>
    <w:rsid w:val="183120B3"/>
    <w:rsid w:val="18563D26"/>
    <w:rsid w:val="18804FC4"/>
    <w:rsid w:val="18964460"/>
    <w:rsid w:val="189823E5"/>
    <w:rsid w:val="19232435"/>
    <w:rsid w:val="192E4578"/>
    <w:rsid w:val="196A0A5A"/>
    <w:rsid w:val="196C36C2"/>
    <w:rsid w:val="19807F6B"/>
    <w:rsid w:val="1994112E"/>
    <w:rsid w:val="19C76874"/>
    <w:rsid w:val="19E575CE"/>
    <w:rsid w:val="1A0A00C9"/>
    <w:rsid w:val="1A101FD2"/>
    <w:rsid w:val="1A344769"/>
    <w:rsid w:val="1A415AA6"/>
    <w:rsid w:val="1A4E597C"/>
    <w:rsid w:val="1A597E48"/>
    <w:rsid w:val="1A60277A"/>
    <w:rsid w:val="1ADB2741"/>
    <w:rsid w:val="1B2A271F"/>
    <w:rsid w:val="1B6415FF"/>
    <w:rsid w:val="1B9F38FC"/>
    <w:rsid w:val="1BC812BA"/>
    <w:rsid w:val="1BDD5A46"/>
    <w:rsid w:val="1BE608D3"/>
    <w:rsid w:val="1BF43C15"/>
    <w:rsid w:val="1C691A5C"/>
    <w:rsid w:val="1C7350D2"/>
    <w:rsid w:val="1C950463"/>
    <w:rsid w:val="1C9F7D02"/>
    <w:rsid w:val="1CA36DC4"/>
    <w:rsid w:val="1CF127FA"/>
    <w:rsid w:val="1D130EA8"/>
    <w:rsid w:val="1D347041"/>
    <w:rsid w:val="1D7644E2"/>
    <w:rsid w:val="1D7A4FD7"/>
    <w:rsid w:val="1D993180"/>
    <w:rsid w:val="1DD65800"/>
    <w:rsid w:val="1E4A35C1"/>
    <w:rsid w:val="1E6B6B4E"/>
    <w:rsid w:val="1EDD6BE3"/>
    <w:rsid w:val="1F613276"/>
    <w:rsid w:val="1F6844D8"/>
    <w:rsid w:val="1FCD6FEB"/>
    <w:rsid w:val="1FFB1DDA"/>
    <w:rsid w:val="20306BD7"/>
    <w:rsid w:val="20376A30"/>
    <w:rsid w:val="203B3D71"/>
    <w:rsid w:val="20686980"/>
    <w:rsid w:val="20AB36D3"/>
    <w:rsid w:val="20B55234"/>
    <w:rsid w:val="20EC5159"/>
    <w:rsid w:val="214C7431"/>
    <w:rsid w:val="21641254"/>
    <w:rsid w:val="218F51A9"/>
    <w:rsid w:val="21C969FA"/>
    <w:rsid w:val="222861B1"/>
    <w:rsid w:val="222E41A0"/>
    <w:rsid w:val="22854BAF"/>
    <w:rsid w:val="22C31167"/>
    <w:rsid w:val="22DB7B3C"/>
    <w:rsid w:val="22E04793"/>
    <w:rsid w:val="231B0DA1"/>
    <w:rsid w:val="23510E00"/>
    <w:rsid w:val="2378512C"/>
    <w:rsid w:val="23D36806"/>
    <w:rsid w:val="23E76D75"/>
    <w:rsid w:val="240B0BA6"/>
    <w:rsid w:val="241E4CD1"/>
    <w:rsid w:val="245A12B2"/>
    <w:rsid w:val="249B0CBF"/>
    <w:rsid w:val="24AD6697"/>
    <w:rsid w:val="250273A3"/>
    <w:rsid w:val="250848CE"/>
    <w:rsid w:val="255549CD"/>
    <w:rsid w:val="256C23F4"/>
    <w:rsid w:val="25731D7F"/>
    <w:rsid w:val="25762713"/>
    <w:rsid w:val="2579440E"/>
    <w:rsid w:val="25867038"/>
    <w:rsid w:val="258E2353"/>
    <w:rsid w:val="259B76C0"/>
    <w:rsid w:val="25C86676"/>
    <w:rsid w:val="25E22033"/>
    <w:rsid w:val="25F3591A"/>
    <w:rsid w:val="26341E3D"/>
    <w:rsid w:val="266037A8"/>
    <w:rsid w:val="2665260C"/>
    <w:rsid w:val="269A5064"/>
    <w:rsid w:val="26D519C6"/>
    <w:rsid w:val="26D8294B"/>
    <w:rsid w:val="27090EBD"/>
    <w:rsid w:val="27231852"/>
    <w:rsid w:val="273529E9"/>
    <w:rsid w:val="27505B8A"/>
    <w:rsid w:val="2759419E"/>
    <w:rsid w:val="2764252F"/>
    <w:rsid w:val="277C7BD6"/>
    <w:rsid w:val="27AB0725"/>
    <w:rsid w:val="27BA0DC6"/>
    <w:rsid w:val="27FB7400"/>
    <w:rsid w:val="28443D9B"/>
    <w:rsid w:val="287326EC"/>
    <w:rsid w:val="28792077"/>
    <w:rsid w:val="288325A9"/>
    <w:rsid w:val="289D1B58"/>
    <w:rsid w:val="28B53774"/>
    <w:rsid w:val="28CD3CE5"/>
    <w:rsid w:val="28D34A60"/>
    <w:rsid w:val="28DE6DC2"/>
    <w:rsid w:val="28E610FF"/>
    <w:rsid w:val="28EE54ED"/>
    <w:rsid w:val="29183E23"/>
    <w:rsid w:val="295E5B6D"/>
    <w:rsid w:val="298A3B88"/>
    <w:rsid w:val="29AA454B"/>
    <w:rsid w:val="29B816FE"/>
    <w:rsid w:val="29C966E1"/>
    <w:rsid w:val="29CB539B"/>
    <w:rsid w:val="29D100AA"/>
    <w:rsid w:val="2A322BCE"/>
    <w:rsid w:val="2A78701C"/>
    <w:rsid w:val="2A916E63"/>
    <w:rsid w:val="2AAA7D8D"/>
    <w:rsid w:val="2AC46689"/>
    <w:rsid w:val="2ACD1247"/>
    <w:rsid w:val="2B25495E"/>
    <w:rsid w:val="2B46348F"/>
    <w:rsid w:val="2B646134"/>
    <w:rsid w:val="2BA769AB"/>
    <w:rsid w:val="2BAB53B1"/>
    <w:rsid w:val="2BB8255B"/>
    <w:rsid w:val="2BDA5F01"/>
    <w:rsid w:val="2C6F5E22"/>
    <w:rsid w:val="2D23171B"/>
    <w:rsid w:val="2D542188"/>
    <w:rsid w:val="2D5C786C"/>
    <w:rsid w:val="2D724E4E"/>
    <w:rsid w:val="2D9B3963"/>
    <w:rsid w:val="2DA06101"/>
    <w:rsid w:val="2DF47AA5"/>
    <w:rsid w:val="2E764C0D"/>
    <w:rsid w:val="2E835E5F"/>
    <w:rsid w:val="2ECB2EFB"/>
    <w:rsid w:val="2F484282"/>
    <w:rsid w:val="2F8C0890"/>
    <w:rsid w:val="2F9D2CB0"/>
    <w:rsid w:val="2FA21A0C"/>
    <w:rsid w:val="2FC51CEF"/>
    <w:rsid w:val="2FE36023"/>
    <w:rsid w:val="2FEE50B1"/>
    <w:rsid w:val="305D4027"/>
    <w:rsid w:val="30672D70"/>
    <w:rsid w:val="308952B0"/>
    <w:rsid w:val="308D1737"/>
    <w:rsid w:val="3091013E"/>
    <w:rsid w:val="30A23021"/>
    <w:rsid w:val="30BD39AD"/>
    <w:rsid w:val="30ED4FD4"/>
    <w:rsid w:val="30F34FAB"/>
    <w:rsid w:val="313D166C"/>
    <w:rsid w:val="3148438F"/>
    <w:rsid w:val="314978EC"/>
    <w:rsid w:val="31721829"/>
    <w:rsid w:val="31732CAF"/>
    <w:rsid w:val="317503B0"/>
    <w:rsid w:val="318F6D5C"/>
    <w:rsid w:val="319E0FAA"/>
    <w:rsid w:val="31C9348F"/>
    <w:rsid w:val="320C3A3C"/>
    <w:rsid w:val="32145110"/>
    <w:rsid w:val="321B43C1"/>
    <w:rsid w:val="322C7A83"/>
    <w:rsid w:val="324C7EAF"/>
    <w:rsid w:val="32743B56"/>
    <w:rsid w:val="328E671A"/>
    <w:rsid w:val="329D7B9F"/>
    <w:rsid w:val="32A94788"/>
    <w:rsid w:val="32BB6B23"/>
    <w:rsid w:val="32C600DD"/>
    <w:rsid w:val="32ED7F9D"/>
    <w:rsid w:val="3350040F"/>
    <w:rsid w:val="33E652A9"/>
    <w:rsid w:val="34C627C6"/>
    <w:rsid w:val="34D80120"/>
    <w:rsid w:val="3506060C"/>
    <w:rsid w:val="350F0F1C"/>
    <w:rsid w:val="3510402F"/>
    <w:rsid w:val="3512089E"/>
    <w:rsid w:val="352C2A4A"/>
    <w:rsid w:val="35646427"/>
    <w:rsid w:val="35990E80"/>
    <w:rsid w:val="35BA13B5"/>
    <w:rsid w:val="35D80965"/>
    <w:rsid w:val="36082CD4"/>
    <w:rsid w:val="360C58D2"/>
    <w:rsid w:val="36212F5C"/>
    <w:rsid w:val="368E4C10"/>
    <w:rsid w:val="36A63739"/>
    <w:rsid w:val="36BC1397"/>
    <w:rsid w:val="36CB4A75"/>
    <w:rsid w:val="36DE5C94"/>
    <w:rsid w:val="36E72D20"/>
    <w:rsid w:val="371046EF"/>
    <w:rsid w:val="37157635"/>
    <w:rsid w:val="37290ED0"/>
    <w:rsid w:val="372D5470"/>
    <w:rsid w:val="37340C21"/>
    <w:rsid w:val="37774B8E"/>
    <w:rsid w:val="37820CBF"/>
    <w:rsid w:val="37965442"/>
    <w:rsid w:val="37B67EF6"/>
    <w:rsid w:val="37B833F9"/>
    <w:rsid w:val="37DB4F9C"/>
    <w:rsid w:val="38201B23"/>
    <w:rsid w:val="382175A5"/>
    <w:rsid w:val="38527D74"/>
    <w:rsid w:val="38610886"/>
    <w:rsid w:val="389C36F2"/>
    <w:rsid w:val="389D283F"/>
    <w:rsid w:val="38A6173A"/>
    <w:rsid w:val="38B95E29"/>
    <w:rsid w:val="38D5034D"/>
    <w:rsid w:val="38E46799"/>
    <w:rsid w:val="393D3838"/>
    <w:rsid w:val="3942025E"/>
    <w:rsid w:val="394B2A81"/>
    <w:rsid w:val="3987236F"/>
    <w:rsid w:val="399B527B"/>
    <w:rsid w:val="39B6763B"/>
    <w:rsid w:val="39BA2C5E"/>
    <w:rsid w:val="39CF5FE7"/>
    <w:rsid w:val="39EA4612"/>
    <w:rsid w:val="3A423303"/>
    <w:rsid w:val="3A782F7C"/>
    <w:rsid w:val="3A867EF3"/>
    <w:rsid w:val="3A885D0C"/>
    <w:rsid w:val="3AC540D5"/>
    <w:rsid w:val="3ACC4951"/>
    <w:rsid w:val="3AD47F56"/>
    <w:rsid w:val="3ADF00FA"/>
    <w:rsid w:val="3AE34F9D"/>
    <w:rsid w:val="3AE7256E"/>
    <w:rsid w:val="3B2723C2"/>
    <w:rsid w:val="3B34476C"/>
    <w:rsid w:val="3B6C6D0D"/>
    <w:rsid w:val="3BB33BFE"/>
    <w:rsid w:val="3BD11425"/>
    <w:rsid w:val="3BFF1AFF"/>
    <w:rsid w:val="3C122D1E"/>
    <w:rsid w:val="3C551209"/>
    <w:rsid w:val="3C740891"/>
    <w:rsid w:val="3CA21308"/>
    <w:rsid w:val="3CBE53B5"/>
    <w:rsid w:val="3CC90839"/>
    <w:rsid w:val="3D35362F"/>
    <w:rsid w:val="3D9A7321"/>
    <w:rsid w:val="3DB21145"/>
    <w:rsid w:val="3DB633CE"/>
    <w:rsid w:val="3DBC2463"/>
    <w:rsid w:val="3DF14E3C"/>
    <w:rsid w:val="3E105B80"/>
    <w:rsid w:val="3E282408"/>
    <w:rsid w:val="3E2F1D93"/>
    <w:rsid w:val="3E6C767A"/>
    <w:rsid w:val="3E767F89"/>
    <w:rsid w:val="3E7964D0"/>
    <w:rsid w:val="3E9F5FFB"/>
    <w:rsid w:val="3EB32C17"/>
    <w:rsid w:val="3EBB4FEB"/>
    <w:rsid w:val="3ED925BE"/>
    <w:rsid w:val="3EF52A56"/>
    <w:rsid w:val="3F3D3E50"/>
    <w:rsid w:val="3F520BF1"/>
    <w:rsid w:val="3F565079"/>
    <w:rsid w:val="3F875848"/>
    <w:rsid w:val="3F932AE8"/>
    <w:rsid w:val="3FAE3509"/>
    <w:rsid w:val="3FDD07D5"/>
    <w:rsid w:val="40384124"/>
    <w:rsid w:val="40910B84"/>
    <w:rsid w:val="40C916D7"/>
    <w:rsid w:val="40E56B5E"/>
    <w:rsid w:val="41076FBE"/>
    <w:rsid w:val="415625C0"/>
    <w:rsid w:val="415E55E8"/>
    <w:rsid w:val="416163D3"/>
    <w:rsid w:val="417B6F7C"/>
    <w:rsid w:val="41A36E3C"/>
    <w:rsid w:val="41B770ED"/>
    <w:rsid w:val="41EC7EC8"/>
    <w:rsid w:val="42675C80"/>
    <w:rsid w:val="426E13F6"/>
    <w:rsid w:val="42706590"/>
    <w:rsid w:val="42A1358D"/>
    <w:rsid w:val="42BB5894"/>
    <w:rsid w:val="42D84CBA"/>
    <w:rsid w:val="430118BA"/>
    <w:rsid w:val="4332664E"/>
    <w:rsid w:val="434652EE"/>
    <w:rsid w:val="43A31132"/>
    <w:rsid w:val="43BC4F2D"/>
    <w:rsid w:val="43D85A47"/>
    <w:rsid w:val="43EB5491"/>
    <w:rsid w:val="43FB1EB1"/>
    <w:rsid w:val="4421366C"/>
    <w:rsid w:val="444F7D1F"/>
    <w:rsid w:val="445560F3"/>
    <w:rsid w:val="446C184E"/>
    <w:rsid w:val="447A1E68"/>
    <w:rsid w:val="447D2DED"/>
    <w:rsid w:val="44A257B5"/>
    <w:rsid w:val="44AC0CB7"/>
    <w:rsid w:val="44D86C3E"/>
    <w:rsid w:val="45002616"/>
    <w:rsid w:val="45387C9D"/>
    <w:rsid w:val="45652DF4"/>
    <w:rsid w:val="45811396"/>
    <w:rsid w:val="45CA56AE"/>
    <w:rsid w:val="461E5410"/>
    <w:rsid w:val="464858DB"/>
    <w:rsid w:val="466B4A58"/>
    <w:rsid w:val="4678706D"/>
    <w:rsid w:val="46C87FF5"/>
    <w:rsid w:val="46CA0433"/>
    <w:rsid w:val="46CF48BB"/>
    <w:rsid w:val="46D01A51"/>
    <w:rsid w:val="47087F18"/>
    <w:rsid w:val="47326B5E"/>
    <w:rsid w:val="473F25F0"/>
    <w:rsid w:val="47562215"/>
    <w:rsid w:val="47572097"/>
    <w:rsid w:val="476A1A4C"/>
    <w:rsid w:val="47A97AA1"/>
    <w:rsid w:val="4869465C"/>
    <w:rsid w:val="486960D8"/>
    <w:rsid w:val="48796A36"/>
    <w:rsid w:val="48BD1FF7"/>
    <w:rsid w:val="48E15749"/>
    <w:rsid w:val="48E46C3C"/>
    <w:rsid w:val="4913451E"/>
    <w:rsid w:val="49190F7D"/>
    <w:rsid w:val="49300BA2"/>
    <w:rsid w:val="493B33FB"/>
    <w:rsid w:val="4941303B"/>
    <w:rsid w:val="49D822B4"/>
    <w:rsid w:val="49DF1E22"/>
    <w:rsid w:val="49F22E5E"/>
    <w:rsid w:val="49F772E6"/>
    <w:rsid w:val="4A3B22FA"/>
    <w:rsid w:val="4A521617"/>
    <w:rsid w:val="4ABF1688"/>
    <w:rsid w:val="4B020336"/>
    <w:rsid w:val="4B4E7897"/>
    <w:rsid w:val="4B5814AC"/>
    <w:rsid w:val="4B5D20B0"/>
    <w:rsid w:val="4B8C5ED7"/>
    <w:rsid w:val="4BD40DF5"/>
    <w:rsid w:val="4C012116"/>
    <w:rsid w:val="4C0E7CD6"/>
    <w:rsid w:val="4C207BF0"/>
    <w:rsid w:val="4C2A5F81"/>
    <w:rsid w:val="4C6C5AF1"/>
    <w:rsid w:val="4C7F6D10"/>
    <w:rsid w:val="4CAF1BB5"/>
    <w:rsid w:val="4CC1784A"/>
    <w:rsid w:val="4CF621D2"/>
    <w:rsid w:val="4D23781E"/>
    <w:rsid w:val="4D521266"/>
    <w:rsid w:val="4DB45069"/>
    <w:rsid w:val="4DC8252A"/>
    <w:rsid w:val="4DD56340"/>
    <w:rsid w:val="4DF474DF"/>
    <w:rsid w:val="4DFC3E55"/>
    <w:rsid w:val="4E1E76B5"/>
    <w:rsid w:val="4E715C09"/>
    <w:rsid w:val="4E9C58C3"/>
    <w:rsid w:val="4EBD1B3D"/>
    <w:rsid w:val="4EDE4270"/>
    <w:rsid w:val="4EFE25A7"/>
    <w:rsid w:val="4F32757E"/>
    <w:rsid w:val="4F5877BA"/>
    <w:rsid w:val="4F60579A"/>
    <w:rsid w:val="4F6C66F8"/>
    <w:rsid w:val="4F760F6C"/>
    <w:rsid w:val="4F87408B"/>
    <w:rsid w:val="4FE14544"/>
    <w:rsid w:val="4FE63B54"/>
    <w:rsid w:val="50006076"/>
    <w:rsid w:val="504C6A44"/>
    <w:rsid w:val="505C5D66"/>
    <w:rsid w:val="507D2811"/>
    <w:rsid w:val="50851129"/>
    <w:rsid w:val="508C3A40"/>
    <w:rsid w:val="50BC6DC7"/>
    <w:rsid w:val="50BF7E82"/>
    <w:rsid w:val="50FD4D3F"/>
    <w:rsid w:val="510B6E04"/>
    <w:rsid w:val="51244DDD"/>
    <w:rsid w:val="512E5A26"/>
    <w:rsid w:val="51344A31"/>
    <w:rsid w:val="514B566F"/>
    <w:rsid w:val="515D4046"/>
    <w:rsid w:val="517843C5"/>
    <w:rsid w:val="518272A4"/>
    <w:rsid w:val="519E7986"/>
    <w:rsid w:val="51BC0B77"/>
    <w:rsid w:val="51C40147"/>
    <w:rsid w:val="51D20DCB"/>
    <w:rsid w:val="526336B8"/>
    <w:rsid w:val="527F74F0"/>
    <w:rsid w:val="52974D1F"/>
    <w:rsid w:val="52987C5F"/>
    <w:rsid w:val="52992845"/>
    <w:rsid w:val="52BE7CB5"/>
    <w:rsid w:val="53106787"/>
    <w:rsid w:val="53132A5C"/>
    <w:rsid w:val="53134F44"/>
    <w:rsid w:val="531D3476"/>
    <w:rsid w:val="537562E4"/>
    <w:rsid w:val="53A52438"/>
    <w:rsid w:val="53AC5583"/>
    <w:rsid w:val="53BE1870"/>
    <w:rsid w:val="540F0961"/>
    <w:rsid w:val="54442C85"/>
    <w:rsid w:val="545149E3"/>
    <w:rsid w:val="54544FDD"/>
    <w:rsid w:val="54586CEA"/>
    <w:rsid w:val="54640C31"/>
    <w:rsid w:val="54794387"/>
    <w:rsid w:val="54892630"/>
    <w:rsid w:val="54E33BD1"/>
    <w:rsid w:val="54F9581D"/>
    <w:rsid w:val="55067877"/>
    <w:rsid w:val="55071CA5"/>
    <w:rsid w:val="553A2677"/>
    <w:rsid w:val="554B00FD"/>
    <w:rsid w:val="554D57FF"/>
    <w:rsid w:val="557C528D"/>
    <w:rsid w:val="557C74E5"/>
    <w:rsid w:val="559E238F"/>
    <w:rsid w:val="55A971DC"/>
    <w:rsid w:val="56224EDE"/>
    <w:rsid w:val="567750A4"/>
    <w:rsid w:val="569C0B56"/>
    <w:rsid w:val="56A662AB"/>
    <w:rsid w:val="57421AC2"/>
    <w:rsid w:val="5744373B"/>
    <w:rsid w:val="57586B58"/>
    <w:rsid w:val="577B1697"/>
    <w:rsid w:val="57844525"/>
    <w:rsid w:val="57985CF2"/>
    <w:rsid w:val="57C40364"/>
    <w:rsid w:val="57CB411A"/>
    <w:rsid w:val="57DF3BDE"/>
    <w:rsid w:val="57F57FA5"/>
    <w:rsid w:val="57FE63ED"/>
    <w:rsid w:val="581B33FF"/>
    <w:rsid w:val="581F6921"/>
    <w:rsid w:val="582817AF"/>
    <w:rsid w:val="584A4CF7"/>
    <w:rsid w:val="58595802"/>
    <w:rsid w:val="58A80E04"/>
    <w:rsid w:val="58CD1F3D"/>
    <w:rsid w:val="58FC2A8C"/>
    <w:rsid w:val="592503CD"/>
    <w:rsid w:val="59EE7217"/>
    <w:rsid w:val="5A031FBA"/>
    <w:rsid w:val="5A097746"/>
    <w:rsid w:val="5A1B53F9"/>
    <w:rsid w:val="5A3679C4"/>
    <w:rsid w:val="5A4C0643"/>
    <w:rsid w:val="5A530E40"/>
    <w:rsid w:val="5A8144D6"/>
    <w:rsid w:val="5AAB580B"/>
    <w:rsid w:val="5AC323F8"/>
    <w:rsid w:val="5AC66D92"/>
    <w:rsid w:val="5ACA6500"/>
    <w:rsid w:val="5B4C011A"/>
    <w:rsid w:val="5B702511"/>
    <w:rsid w:val="5B9F32B9"/>
    <w:rsid w:val="5BD95E4D"/>
    <w:rsid w:val="5BF46D3E"/>
    <w:rsid w:val="5C0D63F7"/>
    <w:rsid w:val="5C243F70"/>
    <w:rsid w:val="5C6E395A"/>
    <w:rsid w:val="5C741B4A"/>
    <w:rsid w:val="5CCE65D7"/>
    <w:rsid w:val="5CE7732A"/>
    <w:rsid w:val="5D035CDC"/>
    <w:rsid w:val="5D057E1B"/>
    <w:rsid w:val="5D1928CC"/>
    <w:rsid w:val="5D2E5971"/>
    <w:rsid w:val="5D320DA7"/>
    <w:rsid w:val="5D6F0D72"/>
    <w:rsid w:val="5DA84284"/>
    <w:rsid w:val="5DAA43BA"/>
    <w:rsid w:val="5DE24514"/>
    <w:rsid w:val="5E246282"/>
    <w:rsid w:val="5E26730A"/>
    <w:rsid w:val="5E2D18D0"/>
    <w:rsid w:val="5E4465EC"/>
    <w:rsid w:val="5E6E0DE1"/>
    <w:rsid w:val="5E7008FF"/>
    <w:rsid w:val="5E867220"/>
    <w:rsid w:val="5EB138E7"/>
    <w:rsid w:val="5EB81383"/>
    <w:rsid w:val="5EC8350D"/>
    <w:rsid w:val="5ED50624"/>
    <w:rsid w:val="5EEE216B"/>
    <w:rsid w:val="5F327799"/>
    <w:rsid w:val="5F890A06"/>
    <w:rsid w:val="5F8F1665"/>
    <w:rsid w:val="5F9C3975"/>
    <w:rsid w:val="5FA91901"/>
    <w:rsid w:val="5FBA4995"/>
    <w:rsid w:val="5FC16FA8"/>
    <w:rsid w:val="5FC82E56"/>
    <w:rsid w:val="5FCB38CD"/>
    <w:rsid w:val="5FF02075"/>
    <w:rsid w:val="60051C2E"/>
    <w:rsid w:val="600A573B"/>
    <w:rsid w:val="60357ADA"/>
    <w:rsid w:val="6055781B"/>
    <w:rsid w:val="606E2944"/>
    <w:rsid w:val="607544CD"/>
    <w:rsid w:val="60F63558"/>
    <w:rsid w:val="60FA576A"/>
    <w:rsid w:val="6126686F"/>
    <w:rsid w:val="613D1D17"/>
    <w:rsid w:val="616C7377"/>
    <w:rsid w:val="6184248C"/>
    <w:rsid w:val="61AB6AC8"/>
    <w:rsid w:val="62107AF1"/>
    <w:rsid w:val="622C5484"/>
    <w:rsid w:val="628C70BF"/>
    <w:rsid w:val="62AD6134"/>
    <w:rsid w:val="636D582F"/>
    <w:rsid w:val="637C1DD7"/>
    <w:rsid w:val="63C711E9"/>
    <w:rsid w:val="63DD2BEB"/>
    <w:rsid w:val="63F631B7"/>
    <w:rsid w:val="63F751AE"/>
    <w:rsid w:val="64290161"/>
    <w:rsid w:val="64314D3E"/>
    <w:rsid w:val="643510CC"/>
    <w:rsid w:val="643A0656"/>
    <w:rsid w:val="64577682"/>
    <w:rsid w:val="647B3077"/>
    <w:rsid w:val="64E82021"/>
    <w:rsid w:val="65181CEF"/>
    <w:rsid w:val="654672B3"/>
    <w:rsid w:val="65472B37"/>
    <w:rsid w:val="657B15F3"/>
    <w:rsid w:val="65FD6DE2"/>
    <w:rsid w:val="66111DAC"/>
    <w:rsid w:val="6618760C"/>
    <w:rsid w:val="66403F93"/>
    <w:rsid w:val="66500DEB"/>
    <w:rsid w:val="669F578B"/>
    <w:rsid w:val="66A562F6"/>
    <w:rsid w:val="66E7135C"/>
    <w:rsid w:val="67234B8F"/>
    <w:rsid w:val="676E0709"/>
    <w:rsid w:val="677102B7"/>
    <w:rsid w:val="678655E4"/>
    <w:rsid w:val="67EC0DFC"/>
    <w:rsid w:val="681770D1"/>
    <w:rsid w:val="682031B7"/>
    <w:rsid w:val="68297D70"/>
    <w:rsid w:val="689D651E"/>
    <w:rsid w:val="68C36B2F"/>
    <w:rsid w:val="68E3798D"/>
    <w:rsid w:val="691163F0"/>
    <w:rsid w:val="692A1518"/>
    <w:rsid w:val="693A5F2F"/>
    <w:rsid w:val="69482C25"/>
    <w:rsid w:val="695A176B"/>
    <w:rsid w:val="69946DAD"/>
    <w:rsid w:val="69BD115F"/>
    <w:rsid w:val="69EC37D4"/>
    <w:rsid w:val="69EE6CD8"/>
    <w:rsid w:val="6A223CAF"/>
    <w:rsid w:val="6A280144"/>
    <w:rsid w:val="6A3D1E30"/>
    <w:rsid w:val="6A6211CB"/>
    <w:rsid w:val="6A652199"/>
    <w:rsid w:val="6A936F5F"/>
    <w:rsid w:val="6A95413A"/>
    <w:rsid w:val="6AD1726E"/>
    <w:rsid w:val="6AF26B3F"/>
    <w:rsid w:val="6AFE4916"/>
    <w:rsid w:val="6B0F2632"/>
    <w:rsid w:val="6B496C6F"/>
    <w:rsid w:val="6BA564F2"/>
    <w:rsid w:val="6BB5616F"/>
    <w:rsid w:val="6C041C46"/>
    <w:rsid w:val="6C385D71"/>
    <w:rsid w:val="6C3F14DF"/>
    <w:rsid w:val="6C535248"/>
    <w:rsid w:val="6C5D5536"/>
    <w:rsid w:val="6C655162"/>
    <w:rsid w:val="6C661677"/>
    <w:rsid w:val="6C702411"/>
    <w:rsid w:val="6C7034F3"/>
    <w:rsid w:val="6C7B12DF"/>
    <w:rsid w:val="6C8269E6"/>
    <w:rsid w:val="6CA24FC7"/>
    <w:rsid w:val="6CC65C6F"/>
    <w:rsid w:val="6D130BBF"/>
    <w:rsid w:val="6D1E0194"/>
    <w:rsid w:val="6D286525"/>
    <w:rsid w:val="6D5F4CB9"/>
    <w:rsid w:val="6D601F02"/>
    <w:rsid w:val="6D9446AF"/>
    <w:rsid w:val="6DA13EAE"/>
    <w:rsid w:val="6DA325EB"/>
    <w:rsid w:val="6DAD3D9C"/>
    <w:rsid w:val="6E794BCD"/>
    <w:rsid w:val="6E9B1EE4"/>
    <w:rsid w:val="6EC25185"/>
    <w:rsid w:val="6ED2525C"/>
    <w:rsid w:val="6EF0008F"/>
    <w:rsid w:val="6F0D5441"/>
    <w:rsid w:val="6F2936EC"/>
    <w:rsid w:val="6F2C3E99"/>
    <w:rsid w:val="6F776335"/>
    <w:rsid w:val="6F80797E"/>
    <w:rsid w:val="6F816824"/>
    <w:rsid w:val="6FA93B2E"/>
    <w:rsid w:val="6FBD62D5"/>
    <w:rsid w:val="6FE93B2A"/>
    <w:rsid w:val="6FF82AC0"/>
    <w:rsid w:val="6FFD6F48"/>
    <w:rsid w:val="702B25A0"/>
    <w:rsid w:val="705F5105"/>
    <w:rsid w:val="7091303E"/>
    <w:rsid w:val="70A10F30"/>
    <w:rsid w:val="70A835E0"/>
    <w:rsid w:val="70B23C79"/>
    <w:rsid w:val="70C26FB3"/>
    <w:rsid w:val="70ED28ED"/>
    <w:rsid w:val="7105557C"/>
    <w:rsid w:val="71147D94"/>
    <w:rsid w:val="71344A46"/>
    <w:rsid w:val="713C1E52"/>
    <w:rsid w:val="716D3CA6"/>
    <w:rsid w:val="71804EA4"/>
    <w:rsid w:val="719550E3"/>
    <w:rsid w:val="71CF3736"/>
    <w:rsid w:val="71CF458A"/>
    <w:rsid w:val="723039E4"/>
    <w:rsid w:val="72563C24"/>
    <w:rsid w:val="726E34C9"/>
    <w:rsid w:val="72D30C6F"/>
    <w:rsid w:val="73091DE9"/>
    <w:rsid w:val="730A49CC"/>
    <w:rsid w:val="73196D95"/>
    <w:rsid w:val="732B4F01"/>
    <w:rsid w:val="73517768"/>
    <w:rsid w:val="735C549D"/>
    <w:rsid w:val="739D6139"/>
    <w:rsid w:val="739F3C54"/>
    <w:rsid w:val="73A225C1"/>
    <w:rsid w:val="73DE2356"/>
    <w:rsid w:val="73F37D2C"/>
    <w:rsid w:val="73F73350"/>
    <w:rsid w:val="743566B8"/>
    <w:rsid w:val="74A0261F"/>
    <w:rsid w:val="74A85838"/>
    <w:rsid w:val="74D20734"/>
    <w:rsid w:val="75001DE5"/>
    <w:rsid w:val="75153B55"/>
    <w:rsid w:val="755A0A19"/>
    <w:rsid w:val="755C0699"/>
    <w:rsid w:val="756B5E6B"/>
    <w:rsid w:val="757B0F4D"/>
    <w:rsid w:val="75A9735E"/>
    <w:rsid w:val="75B82FB1"/>
    <w:rsid w:val="75CF5154"/>
    <w:rsid w:val="75EC0D80"/>
    <w:rsid w:val="75EE572D"/>
    <w:rsid w:val="75F21E91"/>
    <w:rsid w:val="75F91B95"/>
    <w:rsid w:val="760D5BAF"/>
    <w:rsid w:val="763E536C"/>
    <w:rsid w:val="7663711E"/>
    <w:rsid w:val="76733229"/>
    <w:rsid w:val="76836307"/>
    <w:rsid w:val="76E97C1D"/>
    <w:rsid w:val="77352BFE"/>
    <w:rsid w:val="77383FF4"/>
    <w:rsid w:val="778744A6"/>
    <w:rsid w:val="779B2202"/>
    <w:rsid w:val="77A52A76"/>
    <w:rsid w:val="77E34BBF"/>
    <w:rsid w:val="780350F4"/>
    <w:rsid w:val="781A001C"/>
    <w:rsid w:val="781D3405"/>
    <w:rsid w:val="7825692D"/>
    <w:rsid w:val="784748E4"/>
    <w:rsid w:val="792F3EBC"/>
    <w:rsid w:val="793254C4"/>
    <w:rsid w:val="79750A88"/>
    <w:rsid w:val="797E7606"/>
    <w:rsid w:val="798C6424"/>
    <w:rsid w:val="798D1378"/>
    <w:rsid w:val="79B25F33"/>
    <w:rsid w:val="79EB4038"/>
    <w:rsid w:val="79EF748B"/>
    <w:rsid w:val="7A1F0C10"/>
    <w:rsid w:val="7A441639"/>
    <w:rsid w:val="7A6F198C"/>
    <w:rsid w:val="7A9F0024"/>
    <w:rsid w:val="7ADD47B5"/>
    <w:rsid w:val="7AE3772B"/>
    <w:rsid w:val="7B2D68A5"/>
    <w:rsid w:val="7B361733"/>
    <w:rsid w:val="7B784BEC"/>
    <w:rsid w:val="7B9A2E37"/>
    <w:rsid w:val="7B9B3656"/>
    <w:rsid w:val="7B9F205C"/>
    <w:rsid w:val="7BE25E9B"/>
    <w:rsid w:val="7BEA6984"/>
    <w:rsid w:val="7BEB1AB4"/>
    <w:rsid w:val="7BFF2E69"/>
    <w:rsid w:val="7C0258C1"/>
    <w:rsid w:val="7C091993"/>
    <w:rsid w:val="7C106E98"/>
    <w:rsid w:val="7C50111C"/>
    <w:rsid w:val="7C59613E"/>
    <w:rsid w:val="7C8313D5"/>
    <w:rsid w:val="7CD94362"/>
    <w:rsid w:val="7CEE285C"/>
    <w:rsid w:val="7D16490F"/>
    <w:rsid w:val="7D287CDD"/>
    <w:rsid w:val="7D551022"/>
    <w:rsid w:val="7D5D23BD"/>
    <w:rsid w:val="7D5E7E3F"/>
    <w:rsid w:val="7D6577CA"/>
    <w:rsid w:val="7D676E9C"/>
    <w:rsid w:val="7DF74136"/>
    <w:rsid w:val="7E502C4A"/>
    <w:rsid w:val="7E541651"/>
    <w:rsid w:val="7E8B17AA"/>
    <w:rsid w:val="7E8F2FA3"/>
    <w:rsid w:val="7E9E07CB"/>
    <w:rsid w:val="7EC73B8E"/>
    <w:rsid w:val="7EF309DC"/>
    <w:rsid w:val="7EF940CA"/>
    <w:rsid w:val="7F0E237D"/>
    <w:rsid w:val="7F475253"/>
    <w:rsid w:val="7F491ED5"/>
    <w:rsid w:val="7F5C2CC6"/>
    <w:rsid w:val="7F602A87"/>
    <w:rsid w:val="7F6B4190"/>
    <w:rsid w:val="7F884466"/>
    <w:rsid w:val="7F913400"/>
    <w:rsid w:val="7FB17429"/>
    <w:rsid w:val="7FE26E25"/>
    <w:rsid w:val="7FF16AF3"/>
    <w:rsid w:val="7FF66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20"/>
      <w:outlineLvl w:val="0"/>
    </w:pPr>
    <w:rPr>
      <w:rFonts w:ascii="等线" w:hAnsi="等线" w:eastAsia="等线" w:cs="等线"/>
      <w:b/>
      <w:bCs/>
      <w:sz w:val="44"/>
      <w:szCs w:val="44"/>
      <w:lang w:val="zh-CN" w:bidi="zh-CN"/>
    </w:rPr>
  </w:style>
  <w:style w:type="paragraph" w:styleId="3">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1"/>
    <w:rPr>
      <w:rFonts w:ascii="等线" w:hAnsi="等线" w:eastAsia="等线" w:cs="等线"/>
      <w:szCs w:val="21"/>
      <w:lang w:val="zh-CN" w:bidi="zh-CN"/>
    </w:rPr>
  </w:style>
  <w:style w:type="paragraph" w:styleId="6">
    <w:name w:val="Body Text Indent"/>
    <w:basedOn w:val="1"/>
    <w:qFormat/>
    <w:uiPriority w:val="0"/>
    <w:pPr>
      <w:spacing w:before="240" w:line="400" w:lineRule="exact"/>
      <w:ind w:firstLine="505"/>
    </w:pPr>
    <w:rPr>
      <w:rFonts w:ascii="宋体"/>
      <w:sz w:val="24"/>
    </w:rPr>
  </w:style>
  <w:style w:type="paragraph" w:styleId="7">
    <w:name w:val="Plain Text"/>
    <w:basedOn w:val="1"/>
    <w:qFormat/>
    <w:uiPriority w:val="0"/>
    <w:rPr>
      <w:rFonts w:ascii="宋体" w:hAnsi="Courier New"/>
      <w:snapToGrid w:val="0"/>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before="100" w:beforeAutospacing="1" w:after="100" w:afterAutospacing="1"/>
      <w:jc w:val="left"/>
    </w:pPr>
    <w:rPr>
      <w:rFonts w:ascii="宋体" w:hAnsi="宋体"/>
      <w:kern w:val="0"/>
      <w:sz w:val="24"/>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page number"/>
    <w:basedOn w:val="13"/>
    <w:qFormat/>
    <w:uiPriority w:val="0"/>
  </w:style>
  <w:style w:type="character" w:styleId="15">
    <w:name w:val="Hyperlink"/>
    <w:basedOn w:val="13"/>
    <w:qFormat/>
    <w:uiPriority w:val="0"/>
    <w:rPr>
      <w:color w:val="0000FF"/>
      <w:u w:val="single"/>
    </w:rPr>
  </w:style>
  <w:style w:type="paragraph" w:customStyle="1" w:styleId="16">
    <w:name w:val="List Paragraph1"/>
    <w:basedOn w:val="1"/>
    <w:qFormat/>
    <w:uiPriority w:val="34"/>
    <w:pPr>
      <w:ind w:firstLine="420" w:firstLineChars="200"/>
    </w:pPr>
  </w:style>
  <w:style w:type="character" w:customStyle="1" w:styleId="17">
    <w:name w:val="font11"/>
    <w:basedOn w:val="13"/>
    <w:qFormat/>
    <w:uiPriority w:val="0"/>
    <w:rPr>
      <w:rFonts w:ascii="Futura Bk" w:hAnsi="Futura Bk" w:eastAsia="Futura Bk" w:cs="Futura Bk"/>
      <w:color w:val="000000"/>
      <w:sz w:val="20"/>
      <w:szCs w:val="20"/>
      <w:u w:val="none"/>
    </w:rPr>
  </w:style>
  <w:style w:type="character" w:customStyle="1" w:styleId="18">
    <w:name w:val="font31"/>
    <w:basedOn w:val="13"/>
    <w:qFormat/>
    <w:uiPriority w:val="0"/>
    <w:rPr>
      <w:rFonts w:hint="eastAsia" w:ascii="宋体" w:hAnsi="宋体" w:eastAsia="宋体" w:cs="宋体"/>
      <w:color w:val="000000"/>
      <w:sz w:val="20"/>
      <w:szCs w:val="20"/>
      <w:u w:val="none"/>
    </w:rPr>
  </w:style>
  <w:style w:type="paragraph" w:styleId="19">
    <w:name w:val="List Paragraph"/>
    <w:basedOn w:val="1"/>
    <w:qFormat/>
    <w:uiPriority w:val="1"/>
    <w:pPr>
      <w:spacing w:line="312" w:lineRule="exact"/>
      <w:ind w:left="480" w:hanging="361"/>
    </w:pPr>
    <w:rPr>
      <w:rFonts w:ascii="等线" w:hAnsi="等线" w:eastAsia="等线" w:cs="等线"/>
      <w:lang w:val="zh-CN" w:bidi="zh-CN"/>
    </w:rPr>
  </w:style>
  <w:style w:type="paragraph" w:customStyle="1" w:styleId="20">
    <w:name w:val="Table Paragraph"/>
    <w:basedOn w:val="1"/>
    <w:qFormat/>
    <w:uiPriority w:val="1"/>
    <w:pPr>
      <w:ind w:left="107"/>
    </w:pPr>
    <w:rPr>
      <w:rFonts w:ascii="等线" w:hAnsi="等线" w:eastAsia="等线" w:cs="等线"/>
      <w:lang w:val="zh-CN" w:bidi="zh-CN"/>
    </w:rPr>
  </w:style>
  <w:style w:type="paragraph" w:customStyle="1" w:styleId="21">
    <w:name w:val="标题 2 New"/>
    <w:basedOn w:val="22"/>
    <w:next w:val="23"/>
    <w:qFormat/>
    <w:uiPriority w:val="0"/>
    <w:pPr>
      <w:numPr>
        <w:ilvl w:val="1"/>
        <w:numId w:val="1"/>
      </w:numPr>
      <w:tabs>
        <w:tab w:val="left" w:pos="432"/>
        <w:tab w:val="left" w:pos="630"/>
        <w:tab w:val="clear" w:pos="576"/>
      </w:tabs>
      <w:spacing w:before="240" w:beforeLines="0" w:after="240" w:afterLines="0"/>
      <w:ind w:left="578" w:hanging="578"/>
      <w:outlineLvl w:val="1"/>
    </w:pPr>
    <w:rPr>
      <w:sz w:val="28"/>
    </w:rPr>
  </w:style>
  <w:style w:type="paragraph" w:customStyle="1" w:styleId="22">
    <w:name w:val="标题 1 New New"/>
    <w:basedOn w:val="1"/>
    <w:next w:val="23"/>
    <w:qFormat/>
    <w:uiPriority w:val="0"/>
    <w:pPr>
      <w:keepNext/>
      <w:widowControl/>
      <w:numPr>
        <w:ilvl w:val="0"/>
        <w:numId w:val="1"/>
      </w:numPr>
      <w:spacing w:before="480" w:beforeLines="0" w:after="240" w:afterLines="0" w:line="400" w:lineRule="exact"/>
      <w:jc w:val="left"/>
      <w:outlineLvl w:val="0"/>
    </w:pPr>
    <w:rPr>
      <w:rFonts w:eastAsia="黑体"/>
      <w:b/>
      <w:kern w:val="0"/>
      <w:sz w:val="32"/>
      <w:szCs w:val="20"/>
    </w:rPr>
  </w:style>
  <w:style w:type="paragraph" w:customStyle="1" w:styleId="23">
    <w:name w:val="正文文本缩进 New New"/>
    <w:basedOn w:val="1"/>
    <w:qFormat/>
    <w:uiPriority w:val="0"/>
    <w:pPr>
      <w:spacing w:after="120" w:afterLines="0"/>
      <w:ind w:left="420"/>
    </w:pPr>
    <w:rPr>
      <w:rFonts w:ascii="Garamond" w:hAnsi="Garamond"/>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2763</Words>
  <Characters>2857</Characters>
  <Lines>59</Lines>
  <Paragraphs>16</Paragraphs>
  <TotalTime>35</TotalTime>
  <ScaleCrop>false</ScaleCrop>
  <LinksUpToDate>false</LinksUpToDate>
  <CharactersWithSpaces>2982</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2022-06-28T14:31:00Z</dcterms:created>
  <dc:creator>gujianbin</dc:creator>
  <cp:lastModifiedBy>zhangxing-042</cp:lastModifiedBy>
  <dcterms:modified xsi:type="dcterms:W3CDTF">2026-11-02T08:52:44Z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CEACD97498F646ED8C56D5400ACDC288</vt:lpwstr>
  </property>
</Properties>
</file>