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11E2E">
      <w:pPr>
        <w:spacing w:line="700" w:lineRule="exact"/>
        <w:ind w:firstLine="57"/>
        <w:jc w:val="center"/>
        <w:rPr>
          <w:rFonts w:hint="eastAsia" w:ascii="黑体" w:hAnsi="黑体" w:eastAsia="黑体" w:cs="黑体"/>
          <w:b/>
          <w:bCs/>
          <w:sz w:val="32"/>
          <w:szCs w:val="32"/>
        </w:rPr>
      </w:pPr>
      <w:r>
        <w:rPr>
          <w:rFonts w:hint="eastAsia" w:ascii="黑体" w:hAnsi="黑体" w:eastAsia="黑体" w:cs="黑体"/>
          <w:b/>
          <w:bCs/>
          <w:sz w:val="32"/>
          <w:szCs w:val="32"/>
        </w:rPr>
        <w:t>太平洋安信农业保险股份有限公司</w:t>
      </w:r>
    </w:p>
    <w:p w14:paraId="0F489723">
      <w:pPr>
        <w:spacing w:line="700" w:lineRule="exact"/>
        <w:ind w:firstLine="57"/>
        <w:jc w:val="center"/>
        <w:rPr>
          <w:rFonts w:hint="eastAsia" w:ascii="黑体" w:hAnsi="黑体" w:eastAsia="黑体" w:cs="黑体"/>
          <w:b/>
          <w:bCs/>
          <w:sz w:val="32"/>
          <w:szCs w:val="32"/>
        </w:rPr>
      </w:pPr>
      <w:r>
        <w:rPr>
          <w:rFonts w:hint="eastAsia" w:ascii="黑体" w:hAnsi="黑体" w:eastAsia="黑体" w:cs="黑体"/>
          <w:b/>
          <w:bCs/>
          <w:sz w:val="32"/>
          <w:szCs w:val="32"/>
          <w:lang w:val="en-US" w:eastAsia="zh-CN"/>
        </w:rPr>
        <w:t>反洗钱系统新建</w:t>
      </w:r>
      <w:r>
        <w:rPr>
          <w:rFonts w:hint="eastAsia" w:ascii="黑体" w:hAnsi="黑体" w:eastAsia="黑体" w:cs="黑体"/>
          <w:b/>
          <w:bCs/>
          <w:sz w:val="32"/>
          <w:szCs w:val="32"/>
        </w:rPr>
        <w:t>项目</w:t>
      </w:r>
    </w:p>
    <w:p w14:paraId="0D6C40C5">
      <w:pPr>
        <w:spacing w:line="700" w:lineRule="exact"/>
        <w:ind w:firstLine="57"/>
        <w:jc w:val="center"/>
        <w:rPr>
          <w:rFonts w:hint="eastAsia" w:ascii="黑体" w:hAnsi="黑体" w:eastAsia="黑体" w:cs="黑体"/>
          <w:b/>
          <w:bCs/>
          <w:sz w:val="32"/>
          <w:szCs w:val="32"/>
        </w:rPr>
      </w:pPr>
      <w:r>
        <w:rPr>
          <w:rFonts w:hint="eastAsia" w:ascii="黑体" w:hAnsi="黑体" w:eastAsia="黑体" w:cs="黑体"/>
          <w:b/>
          <w:bCs/>
          <w:sz w:val="32"/>
          <w:szCs w:val="32"/>
          <w:lang w:val="en-US" w:eastAsia="zh-CN"/>
        </w:rPr>
        <w:t>公开</w:t>
      </w:r>
      <w:r>
        <w:rPr>
          <w:rFonts w:hint="eastAsia" w:ascii="黑体" w:hAnsi="黑体" w:eastAsia="黑体" w:cs="黑体"/>
          <w:b/>
          <w:bCs/>
          <w:sz w:val="32"/>
          <w:szCs w:val="32"/>
        </w:rPr>
        <w:t>竞价公告</w:t>
      </w:r>
    </w:p>
    <w:p w14:paraId="226C2ED7">
      <w:pPr>
        <w:spacing w:line="360" w:lineRule="auto"/>
        <w:ind w:firstLine="480" w:firstLineChars="200"/>
        <w:rPr>
          <w:rFonts w:hint="eastAsia" w:ascii="仿宋" w:hAnsi="仿宋" w:eastAsia="仿宋" w:cs="Times New Roman"/>
          <w:sz w:val="24"/>
          <w:szCs w:val="28"/>
          <w:lang w:val="en-US" w:eastAsia="zh-CN"/>
        </w:rPr>
      </w:pPr>
      <w:r>
        <w:rPr>
          <w:rFonts w:hint="eastAsia" w:ascii="仿宋" w:hAnsi="仿宋" w:eastAsia="仿宋" w:cs="Times New Roman"/>
          <w:sz w:val="24"/>
          <w:szCs w:val="28"/>
          <w:lang w:val="en-US" w:eastAsia="zh-CN"/>
        </w:rPr>
        <w:t>太平洋安信农业保险股份有限公司（以下简称“太安农险”）现邀请合格的供应商参与反洗钱系统新建项目的采购竞价，太安农险将择优选定中选人，欢迎符合资格要求的供应商踊跃参与，现将有关事项公告如下。</w:t>
      </w:r>
    </w:p>
    <w:p w14:paraId="75985D5F">
      <w:pPr>
        <w:numPr>
          <w:ilvl w:val="-1"/>
          <w:numId w:val="0"/>
        </w:numPr>
        <w:spacing w:line="540" w:lineRule="exact"/>
        <w:ind w:firstLine="0" w:firstLineChars="0"/>
        <w:jc w:val="left"/>
        <w:outlineLvl w:val="0"/>
        <w:rPr>
          <w:rFonts w:hint="eastAsia" w:ascii="黑体" w:hAnsi="黑体" w:eastAsia="黑体" w:cs="黑体"/>
          <w:b/>
          <w:sz w:val="24"/>
        </w:rPr>
      </w:pPr>
      <w:r>
        <w:rPr>
          <w:rFonts w:hint="eastAsia" w:ascii="黑体" w:hAnsi="黑体" w:eastAsia="黑体" w:cs="黑体"/>
          <w:b/>
          <w:sz w:val="24"/>
          <w:lang w:val="en-US" w:eastAsia="zh-CN"/>
        </w:rPr>
        <w:t>一、采购</w:t>
      </w:r>
      <w:r>
        <w:rPr>
          <w:rFonts w:hint="eastAsia" w:ascii="黑体" w:hAnsi="黑体" w:eastAsia="黑体" w:cs="黑体"/>
          <w:b/>
          <w:sz w:val="24"/>
        </w:rPr>
        <w:t>单位：</w:t>
      </w:r>
      <w:r>
        <w:rPr>
          <w:rFonts w:hint="eastAsia" w:ascii="仿宋" w:hAnsi="仿宋" w:eastAsia="仿宋" w:cs="Times New Roman"/>
          <w:sz w:val="24"/>
          <w:szCs w:val="28"/>
          <w:lang w:val="en-US" w:eastAsia="zh-CN"/>
        </w:rPr>
        <w:t>太平洋安信农业保险股份有限公司</w:t>
      </w:r>
    </w:p>
    <w:p w14:paraId="03455804">
      <w:pPr>
        <w:numPr>
          <w:ilvl w:val="-1"/>
          <w:numId w:val="0"/>
        </w:numPr>
        <w:spacing w:line="540" w:lineRule="exact"/>
        <w:ind w:left="0" w:firstLine="0" w:firstLineChars="0"/>
        <w:jc w:val="left"/>
        <w:outlineLvl w:val="0"/>
        <w:rPr>
          <w:rFonts w:hint="eastAsia" w:ascii="黑体" w:hAnsi="黑体" w:eastAsia="黑体" w:cs="黑体"/>
          <w:b/>
          <w:sz w:val="24"/>
        </w:rPr>
      </w:pPr>
      <w:r>
        <w:rPr>
          <w:rFonts w:hint="eastAsia" w:ascii="黑体" w:hAnsi="黑体" w:eastAsia="黑体" w:cs="黑体"/>
          <w:b/>
          <w:sz w:val="24"/>
          <w:lang w:val="en-US" w:eastAsia="zh-CN"/>
        </w:rPr>
        <w:t>二、单位</w:t>
      </w:r>
      <w:r>
        <w:rPr>
          <w:rFonts w:hint="eastAsia" w:ascii="黑体" w:hAnsi="黑体" w:eastAsia="黑体" w:cs="黑体"/>
          <w:b/>
          <w:sz w:val="24"/>
        </w:rPr>
        <w:t>地址：</w:t>
      </w:r>
      <w:r>
        <w:rPr>
          <w:rFonts w:hint="eastAsia" w:ascii="仿宋" w:hAnsi="仿宋" w:eastAsia="仿宋" w:cs="Times New Roman"/>
          <w:sz w:val="24"/>
          <w:szCs w:val="28"/>
          <w:lang w:val="en-US" w:eastAsia="zh-CN"/>
        </w:rPr>
        <w:t>上海市静安区共和新路3651号农保大厦</w:t>
      </w:r>
    </w:p>
    <w:p w14:paraId="00A0EAE0">
      <w:pPr>
        <w:numPr>
          <w:ilvl w:val="-1"/>
          <w:numId w:val="0"/>
        </w:numPr>
        <w:spacing w:line="540" w:lineRule="exact"/>
        <w:ind w:left="0" w:firstLine="0" w:firstLineChars="0"/>
        <w:jc w:val="left"/>
        <w:outlineLvl w:val="0"/>
        <w:rPr>
          <w:rFonts w:hint="default" w:ascii="黑体" w:hAnsi="黑体" w:eastAsia="黑体" w:cs="黑体"/>
          <w:b/>
          <w:sz w:val="24"/>
          <w:lang w:val="en-US" w:eastAsia="zh-CN"/>
        </w:rPr>
      </w:pPr>
      <w:r>
        <w:rPr>
          <w:rFonts w:hint="eastAsia" w:ascii="黑体" w:hAnsi="黑体" w:eastAsia="黑体" w:cs="黑体"/>
          <w:b w:val="0"/>
          <w:bCs/>
          <w:sz w:val="24"/>
          <w:lang w:val="en-US" w:eastAsia="zh-CN"/>
        </w:rPr>
        <w:t>三、</w:t>
      </w:r>
      <w:r>
        <w:rPr>
          <w:rFonts w:hint="eastAsia" w:ascii="黑体" w:hAnsi="黑体" w:eastAsia="黑体" w:cs="黑体"/>
          <w:b/>
          <w:bCs w:val="0"/>
          <w:sz w:val="24"/>
          <w:lang w:val="en-US" w:eastAsia="zh-CN"/>
        </w:rPr>
        <w:t>采购项目名称</w:t>
      </w:r>
      <w:r>
        <w:rPr>
          <w:rFonts w:hint="eastAsia" w:ascii="黑体" w:hAnsi="黑体" w:eastAsia="黑体" w:cs="黑体"/>
          <w:b/>
          <w:sz w:val="24"/>
          <w:lang w:val="en-US" w:eastAsia="zh-CN"/>
        </w:rPr>
        <w:t>：</w:t>
      </w:r>
      <w:r>
        <w:rPr>
          <w:rFonts w:hint="eastAsia" w:ascii="仿宋" w:hAnsi="仿宋" w:eastAsia="仿宋" w:cs="Times New Roman"/>
          <w:sz w:val="24"/>
          <w:szCs w:val="28"/>
          <w:lang w:val="en-US" w:eastAsia="zh-CN"/>
        </w:rPr>
        <w:t>反洗钱系统新建项目</w:t>
      </w:r>
    </w:p>
    <w:p w14:paraId="66017F87">
      <w:pPr>
        <w:pStyle w:val="2"/>
        <w:spacing w:after="0" w:line="540" w:lineRule="exact"/>
        <w:ind w:left="0" w:leftChars="0" w:firstLine="0" w:firstLineChars="0"/>
        <w:jc w:val="left"/>
        <w:rPr>
          <w:rFonts w:hint="default" w:ascii="仿宋" w:hAnsi="仿宋" w:eastAsia="仿宋" w:cs="Times New Roman"/>
          <w:sz w:val="24"/>
          <w:szCs w:val="28"/>
          <w:lang w:val="en-US" w:eastAsia="zh-CN"/>
        </w:rPr>
      </w:pPr>
      <w:r>
        <w:rPr>
          <w:rFonts w:hint="eastAsia" w:ascii="黑体" w:hAnsi="黑体" w:eastAsia="黑体" w:cs="黑体"/>
          <w:b w:val="0"/>
          <w:bCs/>
          <w:sz w:val="24"/>
          <w:szCs w:val="24"/>
          <w:lang w:val="en-US" w:eastAsia="zh-CN"/>
        </w:rPr>
        <w:t>四、</w:t>
      </w:r>
      <w:r>
        <w:rPr>
          <w:rFonts w:hint="eastAsia" w:ascii="黑体" w:hAnsi="黑体" w:eastAsia="黑体" w:cs="黑体"/>
          <w:b/>
          <w:bCs w:val="0"/>
          <w:sz w:val="24"/>
          <w:lang w:val="en-US" w:eastAsia="zh-CN"/>
        </w:rPr>
        <w:t>采购预算：</w:t>
      </w:r>
      <w:r>
        <w:rPr>
          <w:rFonts w:hint="eastAsia" w:ascii="仿宋" w:hAnsi="仿宋" w:eastAsia="仿宋"/>
          <w:sz w:val="24"/>
          <w:szCs w:val="28"/>
          <w:lang w:val="en-US" w:eastAsia="zh-CN"/>
        </w:rPr>
        <w:t>不高于99万元人民币</w:t>
      </w:r>
    </w:p>
    <w:p w14:paraId="1A7B2AC0">
      <w:pPr>
        <w:numPr>
          <w:ilvl w:val="-1"/>
          <w:numId w:val="0"/>
        </w:numPr>
        <w:spacing w:line="540" w:lineRule="exact"/>
        <w:ind w:left="0" w:firstLine="0" w:firstLineChars="0"/>
        <w:jc w:val="left"/>
        <w:outlineLvl w:val="0"/>
        <w:rPr>
          <w:rFonts w:ascii="黑体" w:hAnsi="黑体" w:eastAsia="黑体" w:cs="黑体"/>
          <w:b/>
          <w:sz w:val="24"/>
        </w:rPr>
      </w:pPr>
      <w:r>
        <w:rPr>
          <w:rFonts w:hint="eastAsia" w:ascii="黑体" w:hAnsi="黑体" w:eastAsia="黑体" w:cs="黑体"/>
          <w:b/>
          <w:sz w:val="24"/>
          <w:lang w:val="en-US" w:eastAsia="zh-CN"/>
        </w:rPr>
        <w:t>五、</w:t>
      </w:r>
      <w:r>
        <w:rPr>
          <w:rFonts w:hint="eastAsia" w:ascii="黑体" w:hAnsi="黑体" w:eastAsia="黑体" w:cs="黑体"/>
          <w:b/>
          <w:sz w:val="24"/>
        </w:rPr>
        <w:t>采购需求</w:t>
      </w:r>
    </w:p>
    <w:p w14:paraId="72AEEA74">
      <w:pPr>
        <w:numPr>
          <w:ilvl w:val="0"/>
          <w:numId w:val="1"/>
        </w:numPr>
        <w:spacing w:line="360" w:lineRule="auto"/>
        <w:ind w:firstLine="482" w:firstLineChars="200"/>
        <w:outlineLvl w:val="0"/>
        <w:rPr>
          <w:rFonts w:ascii="黑体" w:hAnsi="黑体" w:eastAsia="黑体" w:cs="黑体"/>
          <w:b/>
          <w:sz w:val="24"/>
        </w:rPr>
      </w:pPr>
      <w:r>
        <w:rPr>
          <w:rFonts w:hint="eastAsia" w:ascii="黑体" w:hAnsi="黑体" w:eastAsia="黑体" w:cs="黑体"/>
          <w:b/>
          <w:sz w:val="24"/>
        </w:rPr>
        <w:t>项目目标</w:t>
      </w:r>
    </w:p>
    <w:p w14:paraId="7C74B751">
      <w:pPr>
        <w:spacing w:line="360" w:lineRule="auto"/>
        <w:ind w:firstLine="480" w:firstLineChars="200"/>
        <w:rPr>
          <w:rFonts w:hint="default" w:ascii="仿宋" w:hAnsi="仿宋" w:eastAsia="仿宋" w:cs="Times New Roman"/>
          <w:sz w:val="24"/>
          <w:szCs w:val="28"/>
          <w:highlight w:val="none"/>
          <w:lang w:val="en-US" w:eastAsia="zh-CN"/>
        </w:rPr>
      </w:pPr>
      <w:r>
        <w:rPr>
          <w:rFonts w:hint="eastAsia" w:ascii="仿宋" w:hAnsi="仿宋" w:eastAsia="仿宋" w:cs="Times New Roman"/>
          <w:sz w:val="24"/>
          <w:szCs w:val="28"/>
          <w:highlight w:val="none"/>
          <w:lang w:val="en-US" w:eastAsia="zh-CN"/>
        </w:rPr>
        <w:t>根据反洗钱法律法规、人民银行及相关部门反洗钱监管要求，梳理公司各业务应用场景，新建太安农险的反洗钱管理系统，适用于现场检查等各类检查，提升公司反洗钱管理水平，确保反洗钱管理系统适合太安农险实际需求同时满足监管部门要求。</w:t>
      </w:r>
    </w:p>
    <w:p w14:paraId="5C70D1CE">
      <w:pPr>
        <w:numPr>
          <w:ilvl w:val="0"/>
          <w:numId w:val="1"/>
        </w:numPr>
        <w:spacing w:line="360" w:lineRule="auto"/>
        <w:ind w:firstLine="482" w:firstLineChars="200"/>
        <w:outlineLvl w:val="0"/>
        <w:rPr>
          <w:rFonts w:ascii="黑体" w:hAnsi="黑体" w:eastAsia="黑体" w:cs="黑体"/>
          <w:b/>
          <w:sz w:val="24"/>
          <w:highlight w:val="none"/>
        </w:rPr>
      </w:pPr>
      <w:r>
        <w:rPr>
          <w:rFonts w:hint="eastAsia" w:ascii="黑体" w:hAnsi="黑体" w:eastAsia="黑体" w:cs="黑体"/>
          <w:b/>
          <w:sz w:val="24"/>
          <w:highlight w:val="none"/>
          <w:lang w:val="en-US" w:eastAsia="zh-CN"/>
        </w:rPr>
        <w:t>项目范围</w:t>
      </w:r>
    </w:p>
    <w:p w14:paraId="3F37F40C">
      <w:pPr>
        <w:spacing w:line="360" w:lineRule="auto"/>
        <w:ind w:firstLine="480" w:firstLineChars="200"/>
        <w:rPr>
          <w:rFonts w:hint="eastAsia" w:ascii="仿宋" w:hAnsi="仿宋" w:eastAsia="仿宋" w:cs="Times New Roman"/>
          <w:sz w:val="24"/>
          <w:szCs w:val="28"/>
          <w:highlight w:val="none"/>
          <w:lang w:val="en-US" w:eastAsia="zh-CN"/>
        </w:rPr>
      </w:pPr>
      <w:r>
        <w:rPr>
          <w:rFonts w:hint="eastAsia" w:ascii="仿宋" w:hAnsi="仿宋" w:eastAsia="仿宋" w:cs="Times New Roman"/>
          <w:sz w:val="24"/>
          <w:szCs w:val="28"/>
          <w:highlight w:val="none"/>
          <w:lang w:val="en-US" w:eastAsia="zh-CN"/>
        </w:rPr>
        <w:t>建设成型的反洗钱管理系统，系统需满足太保集团信创要求，相关技术栈和中间件使用国产化方案。业务上打通与核心业务系统、理赔工作流系统、收付费系统等流程及数据交互，同时系统各模块应保持数据交互、并协同运作，应对监管不断变化的反洗钱政策，能提供系统升级改进的空间。</w:t>
      </w:r>
    </w:p>
    <w:p w14:paraId="56AD96B1">
      <w:pPr>
        <w:spacing w:line="360" w:lineRule="auto"/>
        <w:ind w:firstLine="480" w:firstLineChars="200"/>
        <w:rPr>
          <w:rFonts w:hint="default" w:ascii="仿宋" w:hAnsi="仿宋" w:eastAsia="仿宋" w:cs="Times New Roman"/>
          <w:sz w:val="24"/>
          <w:szCs w:val="28"/>
          <w:highlight w:val="none"/>
          <w:lang w:val="en-US" w:eastAsia="zh-CN"/>
        </w:rPr>
      </w:pPr>
      <w:r>
        <w:rPr>
          <w:rFonts w:hint="default" w:ascii="仿宋" w:hAnsi="仿宋" w:eastAsia="仿宋" w:cs="Times New Roman"/>
          <w:sz w:val="24"/>
          <w:szCs w:val="28"/>
          <w:highlight w:val="none"/>
          <w:lang w:val="en-US" w:eastAsia="zh-CN"/>
        </w:rPr>
        <w:t>系统</w:t>
      </w:r>
      <w:r>
        <w:rPr>
          <w:rFonts w:hint="eastAsia" w:ascii="仿宋" w:hAnsi="仿宋" w:eastAsia="仿宋" w:cs="Times New Roman"/>
          <w:sz w:val="24"/>
          <w:szCs w:val="28"/>
          <w:highlight w:val="none"/>
          <w:lang w:val="en-US" w:eastAsia="zh-CN"/>
        </w:rPr>
        <w:t>必要</w:t>
      </w:r>
      <w:r>
        <w:rPr>
          <w:rFonts w:hint="default" w:ascii="仿宋" w:hAnsi="仿宋" w:eastAsia="仿宋" w:cs="Times New Roman"/>
          <w:sz w:val="24"/>
          <w:szCs w:val="28"/>
          <w:highlight w:val="none"/>
          <w:lang w:val="en-US" w:eastAsia="zh-CN"/>
        </w:rPr>
        <w:t>建设内容如下</w:t>
      </w:r>
      <w:r>
        <w:rPr>
          <w:rFonts w:hint="eastAsia" w:ascii="仿宋" w:hAnsi="仿宋" w:eastAsia="仿宋" w:cs="Times New Roman"/>
          <w:sz w:val="24"/>
          <w:szCs w:val="28"/>
          <w:highlight w:val="none"/>
          <w:lang w:val="en-US" w:eastAsia="zh-CN"/>
        </w:rPr>
        <w:t>：</w:t>
      </w:r>
    </w:p>
    <w:p w14:paraId="6DC24B05">
      <w:pPr>
        <w:spacing w:line="360" w:lineRule="auto"/>
        <w:ind w:firstLine="480" w:firstLineChars="200"/>
        <w:rPr>
          <w:rFonts w:hint="default" w:ascii="仿宋" w:hAnsi="仿宋" w:eastAsia="仿宋" w:cs="Times New Roman"/>
          <w:sz w:val="24"/>
          <w:szCs w:val="28"/>
          <w:highlight w:val="none"/>
          <w:lang w:val="en-US" w:eastAsia="zh-CN"/>
        </w:rPr>
      </w:pPr>
      <w:r>
        <w:rPr>
          <w:rFonts w:hint="eastAsia" w:ascii="仿宋" w:hAnsi="仿宋" w:eastAsia="仿宋" w:cs="Times New Roman"/>
          <w:sz w:val="24"/>
          <w:szCs w:val="28"/>
          <w:highlight w:val="none"/>
          <w:lang w:val="en-US" w:eastAsia="zh-CN"/>
        </w:rPr>
        <w:t>1）客户尽职调查</w:t>
      </w:r>
    </w:p>
    <w:p w14:paraId="4B301B91">
      <w:pPr>
        <w:spacing w:line="360" w:lineRule="auto"/>
        <w:ind w:firstLine="480" w:firstLineChars="200"/>
        <w:rPr>
          <w:rFonts w:hint="eastAsia" w:ascii="仿宋" w:hAnsi="仿宋" w:eastAsia="仿宋"/>
          <w:sz w:val="24"/>
          <w:szCs w:val="28"/>
          <w:highlight w:val="none"/>
          <w:lang w:val="en-US" w:eastAsia="zh-CN"/>
        </w:rPr>
      </w:pPr>
      <w:r>
        <w:rPr>
          <w:rFonts w:hint="eastAsia" w:ascii="仿宋" w:hAnsi="仿宋" w:eastAsia="仿宋" w:cs="Times New Roman"/>
          <w:sz w:val="24"/>
          <w:szCs w:val="28"/>
          <w:highlight w:val="none"/>
          <w:lang w:val="en-US" w:eastAsia="zh-CN"/>
        </w:rPr>
        <w:t>一是提供客户风险视图，以客户为单位，一屏展示：客户基本信息（人民银行相关监管规定）、非自然人受益所有人信息（支持对接第三方系统识别受益所有人的接口）、客户历史交易记录、各类名单命中情况、异常交易命中情况、风险等级情况等，形成可视化图表；二是尽职调查，</w:t>
      </w:r>
      <w:r>
        <w:rPr>
          <w:rFonts w:hint="eastAsia" w:ascii="仿宋" w:hAnsi="仿宋" w:eastAsia="仿宋"/>
          <w:sz w:val="24"/>
          <w:szCs w:val="28"/>
          <w:highlight w:val="none"/>
        </w:rPr>
        <w:t>支持</w:t>
      </w:r>
      <w:r>
        <w:rPr>
          <w:rFonts w:hint="eastAsia" w:ascii="仿宋" w:hAnsi="仿宋" w:eastAsia="仿宋"/>
          <w:sz w:val="24"/>
          <w:szCs w:val="28"/>
          <w:highlight w:val="none"/>
          <w:lang w:val="en-US" w:eastAsia="zh-CN"/>
        </w:rPr>
        <w:t>不同尽调场景下</w:t>
      </w:r>
      <w:r>
        <w:rPr>
          <w:rFonts w:hint="eastAsia" w:ascii="仿宋" w:hAnsi="仿宋" w:eastAsia="仿宋"/>
          <w:sz w:val="24"/>
          <w:szCs w:val="28"/>
          <w:highlight w:val="none"/>
        </w:rPr>
        <w:t>尽调</w:t>
      </w:r>
      <w:r>
        <w:rPr>
          <w:rFonts w:hint="eastAsia" w:ascii="仿宋" w:hAnsi="仿宋" w:eastAsia="仿宋"/>
          <w:sz w:val="24"/>
          <w:szCs w:val="28"/>
          <w:highlight w:val="none"/>
          <w:lang w:val="en-US" w:eastAsia="zh-CN"/>
        </w:rPr>
        <w:t>内容、尽调流程及表单的灵活配置。</w:t>
      </w:r>
    </w:p>
    <w:p w14:paraId="4187BFD3">
      <w:pPr>
        <w:spacing w:line="360" w:lineRule="auto"/>
        <w:ind w:firstLine="480" w:firstLineChars="200"/>
        <w:rPr>
          <w:rFonts w:hint="eastAsia" w:ascii="仿宋" w:hAnsi="仿宋" w:eastAsia="仿宋" w:cs="Times New Roman"/>
          <w:sz w:val="24"/>
          <w:szCs w:val="28"/>
          <w:highlight w:val="none"/>
          <w:lang w:val="en-US" w:eastAsia="zh-CN"/>
        </w:rPr>
      </w:pPr>
      <w:r>
        <w:rPr>
          <w:rFonts w:hint="eastAsia" w:ascii="仿宋" w:hAnsi="仿宋" w:eastAsia="仿宋" w:cs="Times New Roman"/>
          <w:sz w:val="24"/>
          <w:szCs w:val="28"/>
          <w:highlight w:val="none"/>
          <w:lang w:val="en-US" w:eastAsia="zh-CN"/>
        </w:rPr>
        <w:t>2</w:t>
      </w:r>
      <w:r>
        <w:rPr>
          <w:rFonts w:hint="default" w:ascii="仿宋" w:hAnsi="仿宋" w:eastAsia="仿宋" w:cs="Times New Roman"/>
          <w:sz w:val="24"/>
          <w:szCs w:val="28"/>
          <w:highlight w:val="none"/>
          <w:lang w:val="en-US" w:eastAsia="zh-CN"/>
        </w:rPr>
        <w:t>）</w:t>
      </w:r>
      <w:r>
        <w:rPr>
          <w:rFonts w:hint="eastAsia" w:ascii="仿宋" w:hAnsi="仿宋" w:eastAsia="仿宋" w:cs="Times New Roman"/>
          <w:sz w:val="24"/>
          <w:szCs w:val="28"/>
          <w:highlight w:val="none"/>
          <w:lang w:val="en-US" w:eastAsia="zh-CN"/>
        </w:rPr>
        <w:t>客户洗钱风险评级</w:t>
      </w:r>
    </w:p>
    <w:p w14:paraId="64D06B3F">
      <w:pPr>
        <w:spacing w:line="360" w:lineRule="auto"/>
        <w:ind w:firstLine="480" w:firstLineChars="200"/>
        <w:rPr>
          <w:rFonts w:hint="eastAsia" w:ascii="仿宋" w:hAnsi="仿宋" w:eastAsia="仿宋" w:cs="Times New Roman"/>
          <w:sz w:val="24"/>
          <w:szCs w:val="28"/>
          <w:highlight w:val="none"/>
          <w:lang w:val="en-US" w:eastAsia="zh-CN"/>
        </w:rPr>
      </w:pPr>
      <w:r>
        <w:rPr>
          <w:rFonts w:hint="eastAsia" w:ascii="仿宋" w:hAnsi="仿宋" w:eastAsia="仿宋" w:cs="Times New Roman"/>
          <w:sz w:val="24"/>
          <w:szCs w:val="28"/>
          <w:highlight w:val="none"/>
          <w:lang w:val="en-US" w:eastAsia="zh-CN"/>
        </w:rPr>
        <w:t>客户风险等级划分操作流程（新增初评/存量重审、人工调整等）、风险评级轨迹、客户尽职调查、可调整的风险指标和因子，形成可视化模型、各类统计报表。</w:t>
      </w:r>
    </w:p>
    <w:p w14:paraId="03F65857">
      <w:pPr>
        <w:spacing w:line="360" w:lineRule="auto"/>
        <w:ind w:firstLine="480" w:firstLineChars="200"/>
        <w:rPr>
          <w:rFonts w:hint="eastAsia" w:ascii="仿宋" w:hAnsi="仿宋" w:eastAsia="仿宋" w:cs="Times New Roman"/>
          <w:sz w:val="24"/>
          <w:szCs w:val="28"/>
          <w:highlight w:val="none"/>
          <w:lang w:val="en-US" w:eastAsia="zh-CN"/>
        </w:rPr>
      </w:pPr>
      <w:r>
        <w:rPr>
          <w:rFonts w:hint="eastAsia" w:ascii="仿宋" w:hAnsi="仿宋" w:eastAsia="仿宋" w:cs="Times New Roman"/>
          <w:sz w:val="24"/>
          <w:szCs w:val="28"/>
          <w:highlight w:val="none"/>
          <w:lang w:val="en-US" w:eastAsia="zh-CN"/>
        </w:rPr>
        <w:t>3）大额和可疑交易数据监测报送</w:t>
      </w:r>
    </w:p>
    <w:p w14:paraId="7B405047">
      <w:pPr>
        <w:pStyle w:val="2"/>
        <w:spacing w:after="0" w:line="360" w:lineRule="auto"/>
        <w:ind w:left="0" w:leftChars="0" w:firstLine="480" w:firstLineChars="200"/>
        <w:rPr>
          <w:rFonts w:hint="eastAsia" w:ascii="仿宋" w:hAnsi="仿宋" w:eastAsia="仿宋" w:cs="Times New Roman"/>
          <w:kern w:val="2"/>
          <w:sz w:val="24"/>
          <w:szCs w:val="28"/>
          <w:highlight w:val="none"/>
          <w:lang w:val="en-US" w:eastAsia="zh-CN" w:bidi="ar-SA"/>
        </w:rPr>
      </w:pPr>
      <w:r>
        <w:rPr>
          <w:rFonts w:hint="eastAsia" w:ascii="仿宋" w:hAnsi="仿宋" w:eastAsia="仿宋" w:cs="Times New Roman"/>
          <w:kern w:val="2"/>
          <w:sz w:val="24"/>
          <w:szCs w:val="28"/>
          <w:highlight w:val="none"/>
          <w:lang w:val="en-US" w:eastAsia="zh-CN" w:bidi="ar-SA"/>
        </w:rPr>
        <w:t>可调整的大额、可疑交易监测模型配置，审核流程配置，支持人工识别，系统自动识别，上报文件生成， 回执导入自动解析。</w:t>
      </w:r>
    </w:p>
    <w:p w14:paraId="40164D0D">
      <w:pPr>
        <w:spacing w:line="360" w:lineRule="auto"/>
        <w:ind w:firstLine="480" w:firstLineChars="200"/>
        <w:rPr>
          <w:rFonts w:hint="eastAsia" w:ascii="仿宋" w:hAnsi="仿宋" w:eastAsia="仿宋" w:cs="Times New Roman"/>
          <w:sz w:val="24"/>
          <w:szCs w:val="28"/>
          <w:highlight w:val="none"/>
          <w:lang w:val="en-US" w:eastAsia="zh-CN"/>
        </w:rPr>
      </w:pPr>
      <w:r>
        <w:rPr>
          <w:rFonts w:hint="eastAsia" w:ascii="仿宋" w:hAnsi="仿宋" w:eastAsia="仿宋" w:cs="Times New Roman"/>
          <w:sz w:val="24"/>
          <w:szCs w:val="28"/>
          <w:highlight w:val="none"/>
          <w:lang w:val="en-US" w:eastAsia="zh-CN"/>
        </w:rPr>
        <w:t>4）名单管理</w:t>
      </w:r>
    </w:p>
    <w:p w14:paraId="4342D9C5">
      <w:pPr>
        <w:spacing w:line="360" w:lineRule="auto"/>
        <w:ind w:firstLine="480" w:firstLineChars="200"/>
        <w:rPr>
          <w:rFonts w:hint="eastAsia" w:ascii="仿宋" w:hAnsi="仿宋" w:eastAsia="仿宋" w:cs="Times New Roman"/>
          <w:sz w:val="24"/>
          <w:szCs w:val="28"/>
          <w:highlight w:val="none"/>
          <w:lang w:val="en-US" w:eastAsia="zh-CN"/>
        </w:rPr>
      </w:pPr>
      <w:r>
        <w:rPr>
          <w:rFonts w:hint="eastAsia" w:ascii="仿宋" w:hAnsi="仿宋" w:eastAsia="仿宋" w:cs="Times New Roman"/>
          <w:sz w:val="24"/>
          <w:szCs w:val="28"/>
          <w:highlight w:val="none"/>
          <w:lang w:val="en-US" w:eastAsia="zh-CN"/>
        </w:rPr>
        <w:t>可对接外部商业名单实现名单数据定时自动更新、筛查及回溯性筛查，名单筛查策略配置，另包括</w:t>
      </w:r>
      <w:r>
        <w:rPr>
          <w:rFonts w:hint="eastAsia" w:ascii="仿宋" w:hAnsi="仿宋" w:eastAsia="仿宋" w:cs="Times New Roman"/>
          <w:sz w:val="24"/>
          <w:szCs w:val="28"/>
          <w:highlight w:val="none"/>
        </w:rPr>
        <w:t>白名单管理</w:t>
      </w:r>
      <w:r>
        <w:rPr>
          <w:rFonts w:ascii="宋体" w:hAnsi="宋体" w:eastAsia="宋体" w:cs="宋体"/>
          <w:sz w:val="24"/>
          <w:szCs w:val="24"/>
          <w:highlight w:val="none"/>
        </w:rPr>
        <w:t>，</w:t>
      </w:r>
      <w:r>
        <w:rPr>
          <w:rFonts w:hint="eastAsia" w:ascii="仿宋" w:hAnsi="仿宋" w:eastAsia="仿宋" w:cs="Times New Roman"/>
          <w:sz w:val="24"/>
          <w:szCs w:val="28"/>
          <w:highlight w:val="none"/>
          <w:lang w:val="en-US" w:eastAsia="zh-CN"/>
        </w:rPr>
        <w:t>名单预警处理流程设置管理与轨迹。</w:t>
      </w:r>
    </w:p>
    <w:p w14:paraId="6F1FF6E1">
      <w:pPr>
        <w:pStyle w:val="4"/>
        <w:spacing w:line="360" w:lineRule="auto"/>
        <w:ind w:firstLine="480" w:firstLineChars="200"/>
        <w:jc w:val="both"/>
        <w:rPr>
          <w:rFonts w:hint="eastAsia" w:ascii="仿宋" w:hAnsi="仿宋" w:eastAsia="仿宋"/>
          <w:sz w:val="24"/>
          <w:szCs w:val="28"/>
          <w:highlight w:val="none"/>
        </w:rPr>
      </w:pPr>
      <w:r>
        <w:rPr>
          <w:rFonts w:hint="eastAsia" w:ascii="仿宋" w:hAnsi="仿宋" w:eastAsia="仿宋"/>
          <w:sz w:val="24"/>
          <w:szCs w:val="28"/>
          <w:highlight w:val="none"/>
          <w:lang w:val="en-US" w:eastAsia="zh-CN"/>
        </w:rPr>
        <w:t>5）</w:t>
      </w:r>
      <w:r>
        <w:rPr>
          <w:rFonts w:hint="eastAsia" w:ascii="仿宋" w:hAnsi="仿宋" w:eastAsia="仿宋"/>
          <w:sz w:val="24"/>
          <w:szCs w:val="28"/>
          <w:highlight w:val="none"/>
        </w:rPr>
        <w:t>产品/业务风险评级</w:t>
      </w:r>
    </w:p>
    <w:p w14:paraId="0A79E730">
      <w:pPr>
        <w:pStyle w:val="4"/>
        <w:spacing w:line="360" w:lineRule="auto"/>
        <w:ind w:firstLine="480" w:firstLineChars="200"/>
        <w:jc w:val="both"/>
        <w:rPr>
          <w:rFonts w:hint="eastAsia" w:ascii="仿宋" w:hAnsi="仿宋" w:eastAsia="仿宋"/>
          <w:sz w:val="24"/>
          <w:szCs w:val="28"/>
          <w:highlight w:val="none"/>
        </w:rPr>
      </w:pPr>
      <w:r>
        <w:rPr>
          <w:rFonts w:hint="eastAsia" w:ascii="仿宋" w:hAnsi="仿宋" w:eastAsia="仿宋"/>
          <w:sz w:val="24"/>
          <w:szCs w:val="28"/>
          <w:highlight w:val="none"/>
          <w:lang w:val="en-US" w:eastAsia="zh-CN"/>
        </w:rPr>
        <w:t>有</w:t>
      </w:r>
      <w:r>
        <w:rPr>
          <w:rFonts w:hint="eastAsia" w:ascii="仿宋" w:hAnsi="仿宋" w:eastAsia="仿宋"/>
          <w:sz w:val="24"/>
          <w:szCs w:val="28"/>
          <w:highlight w:val="none"/>
        </w:rPr>
        <w:t>产品/业务洗钱风险评估审批和查询等功能。对机构内新开办业务/产品开展上线前进行洗钱风险评估；对存量业务/产品开展定期洗钱风险评估，记录评估过程和结果；支持对于评级结果为高风险业务、高风险产品予以风险提示等功能。</w:t>
      </w:r>
    </w:p>
    <w:p w14:paraId="2ECDE6FD">
      <w:pPr>
        <w:spacing w:line="360" w:lineRule="auto"/>
        <w:ind w:firstLine="480" w:firstLineChars="200"/>
        <w:rPr>
          <w:rFonts w:hint="eastAsia" w:ascii="仿宋" w:hAnsi="仿宋" w:eastAsia="仿宋" w:cs="Times New Roman"/>
          <w:sz w:val="24"/>
          <w:szCs w:val="28"/>
          <w:highlight w:val="none"/>
          <w:lang w:val="en-US" w:eastAsia="zh-CN"/>
        </w:rPr>
      </w:pPr>
      <w:r>
        <w:rPr>
          <w:rFonts w:hint="eastAsia" w:ascii="仿宋" w:hAnsi="仿宋" w:eastAsia="仿宋" w:cs="Times New Roman"/>
          <w:sz w:val="24"/>
          <w:szCs w:val="28"/>
          <w:highlight w:val="none"/>
          <w:lang w:val="en-US" w:eastAsia="zh-CN"/>
        </w:rPr>
        <w:t>6）报告报表</w:t>
      </w:r>
    </w:p>
    <w:p w14:paraId="4FE16FA5">
      <w:pPr>
        <w:spacing w:line="360" w:lineRule="auto"/>
        <w:ind w:firstLine="480" w:firstLineChars="200"/>
        <w:rPr>
          <w:rFonts w:hint="default" w:ascii="仿宋" w:hAnsi="仿宋" w:eastAsia="仿宋" w:cs="Times New Roman"/>
          <w:sz w:val="24"/>
          <w:szCs w:val="28"/>
          <w:highlight w:val="none"/>
          <w:lang w:val="en-US" w:eastAsia="zh-CN"/>
        </w:rPr>
      </w:pPr>
      <w:r>
        <w:rPr>
          <w:rFonts w:hint="eastAsia" w:ascii="仿宋" w:hAnsi="仿宋" w:eastAsia="仿宋" w:cs="Times New Roman"/>
          <w:sz w:val="24"/>
          <w:szCs w:val="28"/>
          <w:highlight w:val="none"/>
          <w:lang w:val="en-US" w:eastAsia="zh-CN"/>
        </w:rPr>
        <w:t>一是反洗钱现场检查数据：按63号文规则等提取17+N表的数据，支持数据导出，对数据规范性、完整性、合理性校验及评估；二是反洗钱监管报表：人行及金监总局各类报表、协助查证涉嫌洗钱案件情况等；三是内部管理：各级机构操作完成情况、操作时长统计表、异常交易和风险等级分布。</w:t>
      </w:r>
    </w:p>
    <w:p w14:paraId="52C3D480">
      <w:pPr>
        <w:numPr>
          <w:ilvl w:val="0"/>
          <w:numId w:val="0"/>
        </w:numPr>
        <w:spacing w:line="360" w:lineRule="auto"/>
        <w:ind w:firstLine="480" w:firstLineChars="200"/>
        <w:rPr>
          <w:rFonts w:hint="eastAsia" w:ascii="仿宋" w:hAnsi="仿宋" w:eastAsia="仿宋" w:cs="Times New Roman"/>
          <w:sz w:val="24"/>
          <w:szCs w:val="28"/>
          <w:highlight w:val="none"/>
          <w:lang w:val="en-US" w:eastAsia="zh-CN"/>
        </w:rPr>
      </w:pPr>
      <w:r>
        <w:rPr>
          <w:rFonts w:hint="eastAsia" w:ascii="仿宋" w:hAnsi="仿宋" w:eastAsia="仿宋" w:cs="Times New Roman"/>
          <w:sz w:val="24"/>
          <w:szCs w:val="28"/>
          <w:highlight w:val="none"/>
          <w:lang w:val="en-US" w:eastAsia="zh-CN"/>
        </w:rPr>
        <w:t xml:space="preserve">7）系统管理 </w:t>
      </w:r>
    </w:p>
    <w:p w14:paraId="6709CA49">
      <w:pPr>
        <w:numPr>
          <w:ilvl w:val="0"/>
          <w:numId w:val="0"/>
        </w:numPr>
        <w:spacing w:line="360" w:lineRule="auto"/>
        <w:ind w:firstLine="480" w:firstLineChars="200"/>
        <w:rPr>
          <w:rFonts w:hint="eastAsia" w:ascii="仿宋" w:hAnsi="仿宋" w:eastAsia="仿宋" w:cs="Times New Roman"/>
          <w:sz w:val="24"/>
          <w:szCs w:val="28"/>
          <w:highlight w:val="none"/>
          <w:lang w:val="en-US" w:eastAsia="zh-CN"/>
        </w:rPr>
      </w:pPr>
      <w:r>
        <w:rPr>
          <w:rFonts w:hint="eastAsia" w:ascii="仿宋" w:hAnsi="仿宋" w:eastAsia="仿宋" w:cs="Times New Roman"/>
          <w:sz w:val="24"/>
          <w:szCs w:val="28"/>
          <w:highlight w:val="none"/>
          <w:lang w:val="en-US" w:eastAsia="zh-CN"/>
        </w:rPr>
        <w:t>用户管理、工作流管理、首页待办任务。</w:t>
      </w:r>
    </w:p>
    <w:p w14:paraId="1936A81B">
      <w:pPr>
        <w:numPr>
          <w:ilvl w:val="-1"/>
          <w:numId w:val="0"/>
        </w:numPr>
        <w:spacing w:line="360" w:lineRule="auto"/>
        <w:ind w:left="0" w:firstLine="482" w:firstLineChars="200"/>
        <w:rPr>
          <w:rFonts w:hint="default" w:ascii="仿宋" w:hAnsi="仿宋" w:eastAsia="仿宋"/>
          <w:b/>
          <w:bCs/>
          <w:sz w:val="24"/>
          <w:szCs w:val="28"/>
          <w:highlight w:val="none"/>
          <w:lang w:val="en-US" w:eastAsia="zh-CN"/>
        </w:rPr>
      </w:pPr>
      <w:r>
        <w:rPr>
          <w:rFonts w:hint="eastAsia" w:ascii="仿宋" w:hAnsi="仿宋" w:eastAsia="仿宋"/>
          <w:b/>
          <w:bCs/>
          <w:sz w:val="24"/>
          <w:szCs w:val="28"/>
          <w:highlight w:val="none"/>
          <w:lang w:val="en-US" w:eastAsia="zh-CN"/>
        </w:rPr>
        <w:t>系统选建内容如下：</w:t>
      </w:r>
    </w:p>
    <w:p w14:paraId="60DD3BC7">
      <w:pPr>
        <w:numPr>
          <w:ilvl w:val="-1"/>
          <w:numId w:val="0"/>
        </w:numPr>
        <w:spacing w:line="360" w:lineRule="auto"/>
        <w:ind w:left="0" w:firstLine="480" w:firstLineChars="200"/>
        <w:rPr>
          <w:rFonts w:hint="eastAsia" w:ascii="仿宋" w:hAnsi="仿宋" w:eastAsia="仿宋" w:cs="Times New Roman"/>
          <w:sz w:val="24"/>
          <w:szCs w:val="28"/>
          <w:highlight w:val="none"/>
          <w:lang w:val="en-US" w:eastAsia="zh-CN"/>
        </w:rPr>
      </w:pPr>
      <w:r>
        <w:rPr>
          <w:rFonts w:hint="eastAsia" w:ascii="仿宋" w:hAnsi="仿宋" w:eastAsia="仿宋"/>
          <w:sz w:val="24"/>
          <w:szCs w:val="28"/>
          <w:highlight w:val="none"/>
          <w:lang w:val="en-US" w:eastAsia="zh-CN"/>
        </w:rPr>
        <w:t>8</w:t>
      </w:r>
      <w:r>
        <w:rPr>
          <w:rFonts w:hint="eastAsia" w:ascii="仿宋" w:hAnsi="仿宋" w:eastAsia="仿宋" w:cs="Times New Roman"/>
          <w:sz w:val="24"/>
          <w:szCs w:val="28"/>
          <w:highlight w:val="none"/>
          <w:lang w:val="en-US" w:eastAsia="zh-CN"/>
        </w:rPr>
        <w:t>）反洗钱宣传培训</w:t>
      </w:r>
    </w:p>
    <w:p w14:paraId="26E56A19">
      <w:pPr>
        <w:numPr>
          <w:ilvl w:val="0"/>
          <w:numId w:val="0"/>
        </w:numPr>
        <w:spacing w:line="360" w:lineRule="auto"/>
        <w:ind w:firstLine="480" w:firstLineChars="200"/>
        <w:rPr>
          <w:rFonts w:hint="default" w:ascii="仿宋" w:hAnsi="仿宋" w:eastAsia="仿宋" w:cs="Times New Roman"/>
          <w:sz w:val="24"/>
          <w:szCs w:val="28"/>
          <w:highlight w:val="none"/>
          <w:lang w:val="en-US" w:eastAsia="zh-CN"/>
        </w:rPr>
      </w:pPr>
      <w:r>
        <w:rPr>
          <w:rFonts w:hint="eastAsia" w:ascii="仿宋" w:hAnsi="仿宋" w:eastAsia="仿宋" w:cs="Times New Roman"/>
          <w:sz w:val="24"/>
          <w:szCs w:val="28"/>
          <w:highlight w:val="none"/>
          <w:lang w:val="en-US" w:eastAsia="zh-CN"/>
        </w:rPr>
        <w:t>分支机构宣传培训表格数据填写/导入、审核；分支机构宣传培训物料的导入；内外部制度库等。</w:t>
      </w:r>
    </w:p>
    <w:p w14:paraId="12AA2C41">
      <w:pPr>
        <w:pStyle w:val="4"/>
        <w:spacing w:line="360" w:lineRule="auto"/>
        <w:ind w:firstLine="480" w:firstLineChars="200"/>
        <w:jc w:val="both"/>
        <w:rPr>
          <w:rFonts w:hint="eastAsia" w:ascii="仿宋" w:hAnsi="仿宋" w:eastAsia="仿宋"/>
          <w:sz w:val="24"/>
          <w:szCs w:val="28"/>
          <w:highlight w:val="none"/>
        </w:rPr>
      </w:pPr>
      <w:r>
        <w:rPr>
          <w:rFonts w:hint="eastAsia" w:ascii="仿宋" w:hAnsi="仿宋" w:eastAsia="仿宋"/>
          <w:sz w:val="24"/>
          <w:szCs w:val="28"/>
          <w:highlight w:val="none"/>
          <w:lang w:val="en-US" w:eastAsia="zh-CN"/>
        </w:rPr>
        <w:t>9）</w:t>
      </w:r>
      <w:r>
        <w:rPr>
          <w:rFonts w:hint="eastAsia" w:ascii="仿宋" w:hAnsi="仿宋" w:eastAsia="仿宋"/>
          <w:sz w:val="24"/>
          <w:szCs w:val="28"/>
          <w:highlight w:val="none"/>
        </w:rPr>
        <w:t>机构</w:t>
      </w:r>
      <w:r>
        <w:rPr>
          <w:rFonts w:hint="eastAsia" w:ascii="仿宋" w:hAnsi="仿宋" w:eastAsia="仿宋"/>
          <w:sz w:val="24"/>
          <w:szCs w:val="28"/>
          <w:highlight w:val="none"/>
          <w:lang w:val="en-US" w:eastAsia="zh-CN"/>
        </w:rPr>
        <w:t>洗钱风险</w:t>
      </w:r>
      <w:r>
        <w:rPr>
          <w:rFonts w:hint="eastAsia" w:ascii="仿宋" w:hAnsi="仿宋" w:eastAsia="仿宋"/>
          <w:sz w:val="24"/>
          <w:szCs w:val="28"/>
          <w:highlight w:val="none"/>
        </w:rPr>
        <w:t>自评估</w:t>
      </w:r>
    </w:p>
    <w:p w14:paraId="47C8D38E">
      <w:pPr>
        <w:pStyle w:val="4"/>
        <w:spacing w:line="360" w:lineRule="auto"/>
        <w:ind w:firstLine="480"/>
        <w:rPr>
          <w:rFonts w:hint="eastAsia" w:ascii="仿宋" w:hAnsi="仿宋" w:eastAsia="仿宋"/>
          <w:sz w:val="24"/>
          <w:szCs w:val="28"/>
          <w:highlight w:val="none"/>
        </w:rPr>
      </w:pPr>
      <w:r>
        <w:rPr>
          <w:rFonts w:hint="eastAsia" w:ascii="仿宋" w:hAnsi="仿宋" w:eastAsia="仿宋"/>
          <w:sz w:val="24"/>
          <w:szCs w:val="28"/>
          <w:highlight w:val="none"/>
        </w:rPr>
        <w:t>系统满足</w:t>
      </w:r>
      <w:r>
        <w:rPr>
          <w:rFonts w:hint="eastAsia" w:ascii="仿宋" w:hAnsi="仿宋" w:eastAsia="仿宋"/>
          <w:sz w:val="24"/>
          <w:szCs w:val="28"/>
          <w:highlight w:val="none"/>
          <w:lang w:val="en-US" w:eastAsia="zh-CN"/>
        </w:rPr>
        <w:t>自</w:t>
      </w:r>
      <w:r>
        <w:rPr>
          <w:rFonts w:hint="eastAsia" w:ascii="仿宋" w:hAnsi="仿宋" w:eastAsia="仿宋"/>
          <w:sz w:val="24"/>
          <w:szCs w:val="28"/>
          <w:highlight w:val="none"/>
        </w:rPr>
        <w:t>评估指标管理、</w:t>
      </w:r>
      <w:r>
        <w:rPr>
          <w:rFonts w:hint="eastAsia" w:ascii="仿宋" w:hAnsi="仿宋" w:eastAsia="仿宋"/>
          <w:sz w:val="24"/>
          <w:szCs w:val="28"/>
          <w:highlight w:val="none"/>
          <w:lang w:val="en-US" w:eastAsia="zh-CN"/>
        </w:rPr>
        <w:t>自</w:t>
      </w:r>
      <w:r>
        <w:rPr>
          <w:rFonts w:hint="eastAsia" w:ascii="仿宋" w:hAnsi="仿宋" w:eastAsia="仿宋"/>
          <w:sz w:val="24"/>
          <w:szCs w:val="28"/>
          <w:highlight w:val="none"/>
        </w:rPr>
        <w:t>评估模板维护、风险等级配置、机构评估管理、风险评估结果查询等功能，实现机构洗钱风险自评估全流程的系统闭环处理。自评估指标包括定性和定量的指标，定量的指标可以通过系统自动计算生成。最终实现全机构的固有风险评估查询、管控措施有效性评估查询以及剩余风险结果查询。</w:t>
      </w:r>
    </w:p>
    <w:p w14:paraId="655D63C2">
      <w:pPr>
        <w:pStyle w:val="4"/>
        <w:spacing w:line="360" w:lineRule="auto"/>
        <w:ind w:firstLine="480"/>
        <w:rPr>
          <w:rFonts w:hint="eastAsia" w:ascii="仿宋" w:hAnsi="仿宋" w:eastAsia="仿宋"/>
          <w:b/>
          <w:bCs/>
          <w:sz w:val="24"/>
          <w:szCs w:val="28"/>
          <w:highlight w:val="none"/>
          <w:lang w:val="en-US" w:eastAsia="zh-CN"/>
        </w:rPr>
      </w:pPr>
      <w:r>
        <w:rPr>
          <w:rFonts w:hint="eastAsia" w:ascii="仿宋" w:hAnsi="仿宋" w:eastAsia="仿宋"/>
          <w:sz w:val="24"/>
          <w:szCs w:val="28"/>
          <w:highlight w:val="none"/>
          <w:lang w:val="en-US" w:eastAsia="zh-CN"/>
        </w:rPr>
        <w:t>以上1-7项采购需求为必须建设项目，8-9项为可选建设项目，供应商可结合自身情况在采购预算范围内进行报价，报价将作为本项目采购合同成交价格的重要依据，同等报价下响应采购需求项目的数量作为供应商选择的重要依据，</w:t>
      </w:r>
      <w:r>
        <w:rPr>
          <w:rFonts w:hint="eastAsia" w:ascii="仿宋" w:hAnsi="仿宋" w:eastAsia="仿宋"/>
          <w:b/>
          <w:bCs/>
          <w:sz w:val="24"/>
          <w:szCs w:val="28"/>
          <w:highlight w:val="none"/>
          <w:lang w:val="en-US" w:eastAsia="zh-CN"/>
        </w:rPr>
        <w:t>最终报价总金额必须低于采购预算。</w:t>
      </w:r>
    </w:p>
    <w:p w14:paraId="5000CDBF">
      <w:pPr>
        <w:numPr>
          <w:ilvl w:val="0"/>
          <w:numId w:val="1"/>
        </w:numPr>
        <w:spacing w:line="360" w:lineRule="auto"/>
        <w:ind w:firstLine="482" w:firstLineChars="200"/>
        <w:outlineLvl w:val="0"/>
        <w:rPr>
          <w:rFonts w:hint="default" w:ascii="黑体" w:hAnsi="黑体" w:eastAsia="黑体" w:cs="黑体"/>
          <w:b/>
          <w:sz w:val="24"/>
          <w:highlight w:val="none"/>
          <w:lang w:val="en-US" w:eastAsia="zh-CN"/>
        </w:rPr>
      </w:pPr>
      <w:r>
        <w:rPr>
          <w:rFonts w:hint="eastAsia" w:ascii="黑体" w:hAnsi="黑体" w:eastAsia="黑体" w:cs="黑体"/>
          <w:b/>
          <w:sz w:val="24"/>
          <w:highlight w:val="none"/>
          <w:lang w:val="en-US" w:eastAsia="zh-CN"/>
        </w:rPr>
        <w:t>服务方式</w:t>
      </w:r>
    </w:p>
    <w:p w14:paraId="6DF37E25">
      <w:pPr>
        <w:spacing w:line="360" w:lineRule="auto"/>
        <w:ind w:firstLine="480" w:firstLineChars="200"/>
        <w:rPr>
          <w:rFonts w:hint="default" w:ascii="仿宋" w:hAnsi="仿宋" w:eastAsia="仿宋" w:cs="Times New Roman"/>
          <w:sz w:val="24"/>
          <w:szCs w:val="28"/>
          <w:highlight w:val="none"/>
          <w:lang w:val="en-US" w:eastAsia="zh-CN"/>
        </w:rPr>
      </w:pPr>
      <w:r>
        <w:rPr>
          <w:rFonts w:hint="eastAsia" w:ascii="仿宋" w:hAnsi="仿宋" w:eastAsia="仿宋" w:cs="Times New Roman"/>
          <w:sz w:val="24"/>
          <w:szCs w:val="28"/>
          <w:highlight w:val="none"/>
          <w:lang w:val="en-US" w:eastAsia="zh-CN"/>
        </w:rPr>
        <w:t>本项目采购合同期内，提供驻场服务，接受甲方管理，按甲方要求开展工作。</w:t>
      </w:r>
    </w:p>
    <w:p w14:paraId="7D1F7D9D">
      <w:pPr>
        <w:numPr>
          <w:ilvl w:val="0"/>
          <w:numId w:val="1"/>
        </w:numPr>
        <w:spacing w:line="360" w:lineRule="auto"/>
        <w:ind w:firstLine="482" w:firstLineChars="200"/>
        <w:outlineLvl w:val="0"/>
        <w:rPr>
          <w:rFonts w:ascii="黑体" w:hAnsi="黑体" w:eastAsia="黑体" w:cs="黑体"/>
          <w:b/>
          <w:sz w:val="24"/>
          <w:highlight w:val="none"/>
        </w:rPr>
      </w:pPr>
      <w:r>
        <w:rPr>
          <w:rFonts w:hint="eastAsia" w:ascii="黑体" w:hAnsi="黑体" w:eastAsia="黑体" w:cs="黑体"/>
          <w:b/>
          <w:sz w:val="24"/>
          <w:highlight w:val="none"/>
          <w:lang w:val="en-US" w:eastAsia="zh-CN"/>
        </w:rPr>
        <w:t>项目人员基本要求</w:t>
      </w:r>
    </w:p>
    <w:p w14:paraId="3324B4B6">
      <w:pPr>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产品需求：</w:t>
      </w:r>
    </w:p>
    <w:p w14:paraId="70CE8FAC">
      <w:pPr>
        <w:spacing w:line="360" w:lineRule="auto"/>
        <w:ind w:firstLine="480" w:firstLineChars="200"/>
        <w:rPr>
          <w:rFonts w:ascii="黑体" w:hAnsi="黑体" w:eastAsia="黑体" w:cs="黑体"/>
          <w:b/>
          <w:sz w:val="24"/>
          <w:highlight w:val="none"/>
        </w:rPr>
      </w:pPr>
      <w:r>
        <w:rPr>
          <w:rFonts w:hint="eastAsia" w:ascii="仿宋" w:hAnsi="仿宋" w:eastAsia="仿宋" w:cs="仿宋"/>
          <w:sz w:val="24"/>
          <w:highlight w:val="none"/>
          <w:lang w:val="en-US" w:eastAsia="zh-CN"/>
        </w:rPr>
        <w:t>（1）熟悉反洗钱法律法规、人民银行等监管部门监管要求；</w:t>
      </w:r>
    </w:p>
    <w:p w14:paraId="5BD14484">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（2）工作有5年以上，熟悉保险业反洗钱，参与相关项目需求分析及开发支持；</w:t>
      </w:r>
    </w:p>
    <w:p w14:paraId="0BF9DD9E">
      <w:pPr>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（3）有大型系统环境搭建经验；</w:t>
      </w:r>
    </w:p>
    <w:p w14:paraId="48D85105">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（4）掌握金融保险业对信息及数据安全相关要求；</w:t>
      </w:r>
    </w:p>
    <w:p w14:paraId="22631247">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（5）精通常见的需求分析工具。</w:t>
      </w:r>
    </w:p>
    <w:p w14:paraId="441BA5CF">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研发：</w:t>
      </w:r>
    </w:p>
    <w:p w14:paraId="438B6F38">
      <w:pPr>
        <w:spacing w:line="360" w:lineRule="auto"/>
        <w:ind w:firstLine="480" w:firstLineChars="200"/>
        <w:rPr>
          <w:rFonts w:ascii="黑体" w:hAnsi="黑体" w:eastAsia="黑体" w:cs="黑体"/>
          <w:b/>
          <w:sz w:val="24"/>
          <w:highlight w:val="none"/>
        </w:rPr>
      </w:pPr>
      <w:r>
        <w:rPr>
          <w:rFonts w:hint="eastAsia" w:ascii="仿宋" w:hAnsi="仿宋" w:eastAsia="仿宋" w:cs="仿宋"/>
          <w:sz w:val="24"/>
          <w:highlight w:val="none"/>
          <w:lang w:val="en-US" w:eastAsia="zh-CN"/>
        </w:rPr>
        <w:t>（1）熟悉反洗钱管理系统，了解反洗钱相关内容；</w:t>
      </w:r>
    </w:p>
    <w:p w14:paraId="18DF551A">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（2）工作年限3年以上，有2年以上反洗钱管理系统项目开发经验；</w:t>
      </w:r>
    </w:p>
    <w:p w14:paraId="4DDB4622">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（3）参与过反洗钱管理系统或新建反洗钱项目的推广、需求分析及开发支持；</w:t>
      </w:r>
    </w:p>
    <w:p w14:paraId="039EECC9">
      <w:pPr>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（4）有大型系统环境搭建经历，熟悉主流应用平台；</w:t>
      </w:r>
    </w:p>
    <w:p w14:paraId="6BDFAC12">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（5）掌握金融保险业对信息及数据安全相关要求；</w:t>
      </w:r>
    </w:p>
    <w:p w14:paraId="37AF49C8">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（6）掌握常见的需求分析工具。</w:t>
      </w:r>
    </w:p>
    <w:p w14:paraId="494CB216">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Times New Roman"/>
          <w:sz w:val="24"/>
          <w:szCs w:val="28"/>
          <w:highlight w:val="none"/>
          <w:lang w:val="en-US" w:eastAsia="zh-CN"/>
        </w:rPr>
        <w:t>项目服务外包人员的资质证明应在驻场前通过我司验证</w:t>
      </w:r>
      <w:r>
        <w:rPr>
          <w:rFonts w:hint="eastAsia" w:ascii="仿宋" w:hAnsi="仿宋" w:eastAsia="仿宋" w:cs="仿宋"/>
          <w:sz w:val="24"/>
          <w:highlight w:val="none"/>
          <w:lang w:val="en-US" w:eastAsia="zh-CN"/>
        </w:rPr>
        <w:t>。</w:t>
      </w:r>
    </w:p>
    <w:p w14:paraId="2658F257">
      <w:pPr>
        <w:numPr>
          <w:ilvl w:val="-1"/>
          <w:numId w:val="0"/>
        </w:numPr>
        <w:spacing w:line="360" w:lineRule="auto"/>
        <w:ind w:left="0" w:firstLine="0" w:firstLineChars="0"/>
        <w:outlineLvl w:val="0"/>
        <w:rPr>
          <w:rFonts w:ascii="黑体" w:hAnsi="黑体" w:eastAsia="黑体" w:cs="黑体"/>
          <w:b/>
          <w:sz w:val="24"/>
          <w:highlight w:val="none"/>
        </w:rPr>
      </w:pPr>
      <w:r>
        <w:rPr>
          <w:rFonts w:hint="eastAsia" w:ascii="黑体" w:hAnsi="黑体" w:eastAsia="黑体" w:cs="黑体"/>
          <w:b/>
          <w:sz w:val="24"/>
          <w:highlight w:val="none"/>
          <w:lang w:val="en-US" w:eastAsia="zh-CN"/>
        </w:rPr>
        <w:t>六、</w:t>
      </w:r>
      <w:r>
        <w:rPr>
          <w:rFonts w:hint="eastAsia" w:ascii="黑体" w:hAnsi="黑体" w:eastAsia="黑体" w:cs="黑体"/>
          <w:b/>
          <w:sz w:val="24"/>
          <w:highlight w:val="none"/>
        </w:rPr>
        <w:t>服务要求</w:t>
      </w:r>
    </w:p>
    <w:p w14:paraId="76DE5FD6">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1.本次</w:t>
      </w:r>
      <w:r>
        <w:rPr>
          <w:rFonts w:hint="eastAsia" w:ascii="仿宋" w:hAnsi="仿宋" w:eastAsia="仿宋" w:cs="仿宋"/>
          <w:sz w:val="24"/>
          <w:highlight w:val="none"/>
          <w:lang w:val="en-US" w:eastAsia="zh-CN"/>
        </w:rPr>
        <w:t>项目</w:t>
      </w:r>
      <w:r>
        <w:rPr>
          <w:rFonts w:hint="eastAsia" w:ascii="仿宋" w:hAnsi="仿宋" w:eastAsia="仿宋" w:cs="仿宋"/>
          <w:sz w:val="24"/>
          <w:highlight w:val="none"/>
        </w:rPr>
        <w:t>要求项目组成员必须遵守太安农险的</w:t>
      </w:r>
      <w:r>
        <w:rPr>
          <w:rFonts w:hint="eastAsia" w:ascii="仿宋" w:hAnsi="仿宋" w:eastAsia="仿宋" w:cs="仿宋"/>
          <w:sz w:val="24"/>
          <w:highlight w:val="none"/>
          <w:lang w:val="en-US" w:eastAsia="zh-CN"/>
        </w:rPr>
        <w:t>外包</w:t>
      </w:r>
      <w:r>
        <w:rPr>
          <w:rFonts w:hint="eastAsia" w:ascii="仿宋" w:hAnsi="仿宋" w:eastAsia="仿宋" w:cs="仿宋"/>
          <w:sz w:val="24"/>
          <w:highlight w:val="none"/>
        </w:rPr>
        <w:t>人员管理办法；</w:t>
      </w:r>
    </w:p>
    <w:p w14:paraId="77F09F74">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2.供应商需具有提供符合规格的项目实施能力，承诺按时、保质完成项目及项目验收，并在投标文件中明确项目服务的质量及安全保密承诺；</w:t>
      </w:r>
    </w:p>
    <w:p w14:paraId="54B79040">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3.供应商需具有提供完善的售后服务的能力；</w:t>
      </w:r>
    </w:p>
    <w:p w14:paraId="7E8700E1">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4.供应商需提供多种技术支持手段，如电话支持、邮件支持、现场支持等；</w:t>
      </w:r>
    </w:p>
    <w:p w14:paraId="2C4D3F23">
      <w:pPr>
        <w:spacing w:line="360" w:lineRule="auto"/>
        <w:ind w:firstLine="480" w:firstLineChars="200"/>
        <w:rPr>
          <w:rFonts w:ascii="仿宋" w:hAnsi="仿宋" w:eastAsia="仿宋" w:cs="仿宋"/>
          <w:sz w:val="24"/>
          <w:highlight w:val="none"/>
        </w:rPr>
      </w:pPr>
      <w:r>
        <w:rPr>
          <w:rFonts w:hint="eastAsia" w:ascii="仿宋" w:hAnsi="仿宋" w:eastAsia="仿宋"/>
          <w:sz w:val="24"/>
          <w:highlight w:val="none"/>
        </w:rPr>
        <w:t>5.在项目实施过程中，</w:t>
      </w:r>
      <w:r>
        <w:rPr>
          <w:rFonts w:hint="eastAsia" w:ascii="仿宋" w:hAnsi="仿宋" w:eastAsia="仿宋" w:cs="仿宋"/>
          <w:sz w:val="24"/>
          <w:highlight w:val="none"/>
        </w:rPr>
        <w:t>供应商</w:t>
      </w:r>
      <w:r>
        <w:rPr>
          <w:rFonts w:hint="eastAsia" w:ascii="仿宋" w:hAnsi="仿宋" w:eastAsia="仿宋"/>
          <w:sz w:val="24"/>
          <w:highlight w:val="none"/>
        </w:rPr>
        <w:t>必须积极服从、配合我方功能调试、上线工作的安排及管理；</w:t>
      </w:r>
      <w:r>
        <w:rPr>
          <w:rFonts w:hint="eastAsia" w:ascii="仿宋" w:hAnsi="仿宋" w:eastAsia="仿宋" w:cs="仿宋"/>
          <w:sz w:val="24"/>
          <w:highlight w:val="none"/>
        </w:rPr>
        <w:t>供应商</w:t>
      </w:r>
      <w:r>
        <w:rPr>
          <w:rFonts w:hint="eastAsia" w:ascii="仿宋" w:hAnsi="仿宋" w:eastAsia="仿宋"/>
          <w:sz w:val="24"/>
          <w:highlight w:val="none"/>
        </w:rPr>
        <w:t>应分阶段提交有关文档，文档达到要求后由我公司验收确认；</w:t>
      </w:r>
    </w:p>
    <w:p w14:paraId="29A0AC75">
      <w:pPr>
        <w:spacing w:line="360" w:lineRule="auto"/>
        <w:ind w:firstLine="480" w:firstLineChars="200"/>
        <w:rPr>
          <w:rFonts w:hint="eastAsia" w:ascii="仿宋" w:hAnsi="仿宋" w:eastAsia="仿宋"/>
          <w:sz w:val="24"/>
          <w:highlight w:val="none"/>
          <w:lang w:eastAsia="zh-CN"/>
        </w:rPr>
      </w:pPr>
      <w:r>
        <w:rPr>
          <w:rFonts w:hint="eastAsia" w:ascii="仿宋" w:hAnsi="仿宋" w:eastAsia="仿宋"/>
          <w:sz w:val="24"/>
          <w:highlight w:val="none"/>
        </w:rPr>
        <w:t>6.</w:t>
      </w:r>
      <w:r>
        <w:rPr>
          <w:rFonts w:hint="eastAsia" w:ascii="仿宋" w:hAnsi="仿宋" w:eastAsia="仿宋" w:cs="仿宋"/>
          <w:sz w:val="24"/>
          <w:highlight w:val="none"/>
        </w:rPr>
        <w:t>供应商</w:t>
      </w:r>
      <w:r>
        <w:rPr>
          <w:rFonts w:hint="eastAsia" w:ascii="仿宋" w:hAnsi="仿宋" w:eastAsia="仿宋"/>
          <w:sz w:val="24"/>
          <w:highlight w:val="none"/>
        </w:rPr>
        <w:t>应根据我方的标准及要求，负责做好项目后期资料的整理及我方人员的培训工作</w:t>
      </w:r>
      <w:r>
        <w:rPr>
          <w:rFonts w:hint="eastAsia" w:ascii="仿宋" w:hAnsi="仿宋" w:eastAsia="仿宋"/>
          <w:sz w:val="24"/>
          <w:highlight w:val="none"/>
          <w:lang w:eastAsia="zh-CN"/>
        </w:rPr>
        <w:t>；</w:t>
      </w:r>
    </w:p>
    <w:p w14:paraId="6FB85EA7">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7.供应商须保证对项目中所提供软件提供至少1年原厂的免费维保及技术支持服务。同时列明其后的服务年费用报价，供甲方参考。</w:t>
      </w:r>
    </w:p>
    <w:p w14:paraId="4918BF6C">
      <w:pPr>
        <w:numPr>
          <w:ilvl w:val="-1"/>
          <w:numId w:val="0"/>
        </w:numPr>
        <w:spacing w:line="360" w:lineRule="auto"/>
        <w:ind w:left="0" w:firstLine="0" w:firstLineChars="0"/>
        <w:outlineLvl w:val="0"/>
        <w:rPr>
          <w:rFonts w:ascii="黑体" w:hAnsi="黑体" w:eastAsia="黑体" w:cs="黑体"/>
          <w:b/>
          <w:sz w:val="24"/>
          <w:highlight w:val="none"/>
        </w:rPr>
      </w:pPr>
      <w:r>
        <w:rPr>
          <w:rFonts w:hint="eastAsia" w:ascii="黑体" w:hAnsi="黑体" w:eastAsia="黑体" w:cs="黑体"/>
          <w:b/>
          <w:sz w:val="24"/>
          <w:highlight w:val="none"/>
          <w:lang w:val="en-US" w:eastAsia="zh-CN"/>
        </w:rPr>
        <w:t>七、项目周期</w:t>
      </w:r>
    </w:p>
    <w:p w14:paraId="6D5AA900">
      <w:pPr>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本项目自采购合同签订之日起至</w:t>
      </w:r>
      <w:r>
        <w:rPr>
          <w:rFonts w:hint="eastAsia" w:ascii="仿宋" w:hAnsi="仿宋" w:eastAsia="仿宋" w:cs="仿宋"/>
          <w:sz w:val="24"/>
          <w:highlight w:val="none"/>
          <w:lang w:val="en-US" w:eastAsia="zh-CN"/>
        </w:rPr>
        <w:t>合同约定终止之日</w:t>
      </w:r>
      <w:r>
        <w:rPr>
          <w:rFonts w:hint="eastAsia" w:ascii="仿宋" w:hAnsi="仿宋" w:eastAsia="仿宋" w:cs="仿宋"/>
          <w:sz w:val="24"/>
          <w:highlight w:val="none"/>
        </w:rPr>
        <w:t>完成功能开发、测试和上线</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并确保可按我司要求续期</w:t>
      </w:r>
      <w:r>
        <w:rPr>
          <w:rFonts w:hint="eastAsia" w:ascii="仿宋" w:hAnsi="仿宋" w:eastAsia="仿宋" w:cs="仿宋"/>
          <w:sz w:val="24"/>
          <w:highlight w:val="none"/>
        </w:rPr>
        <w:t>。</w:t>
      </w:r>
    </w:p>
    <w:p w14:paraId="47E9F443">
      <w:pPr>
        <w:numPr>
          <w:ilvl w:val="-1"/>
          <w:numId w:val="0"/>
        </w:numPr>
        <w:spacing w:line="360" w:lineRule="auto"/>
        <w:ind w:left="0" w:firstLine="0" w:firstLineChars="0"/>
        <w:outlineLvl w:val="0"/>
        <w:rPr>
          <w:rFonts w:hint="eastAsia" w:ascii="黑体" w:hAnsi="黑体" w:eastAsia="黑体" w:cs="黑体"/>
          <w:b/>
          <w:sz w:val="24"/>
          <w:highlight w:val="none"/>
          <w:lang w:val="en-US" w:eastAsia="zh-CN"/>
        </w:rPr>
      </w:pPr>
      <w:r>
        <w:rPr>
          <w:rFonts w:hint="eastAsia" w:ascii="黑体" w:hAnsi="黑体" w:eastAsia="黑体" w:cs="黑体"/>
          <w:b/>
          <w:sz w:val="24"/>
          <w:highlight w:val="none"/>
          <w:lang w:val="en-US" w:eastAsia="zh-CN"/>
        </w:rPr>
        <w:t>八、竞价供应商资格要求</w:t>
      </w:r>
    </w:p>
    <w:p w14:paraId="06E58E24">
      <w:pPr>
        <w:spacing w:line="360" w:lineRule="auto"/>
        <w:ind w:firstLine="480" w:firstLineChars="200"/>
        <w:rPr>
          <w:rFonts w:hint="eastAsia" w:ascii="仿宋" w:hAnsi="仿宋" w:eastAsia="仿宋"/>
          <w:sz w:val="24"/>
          <w:highlight w:val="none"/>
          <w:lang w:eastAsia="zh-CN"/>
        </w:rPr>
      </w:pPr>
      <w:r>
        <w:rPr>
          <w:rFonts w:hint="eastAsia" w:ascii="仿宋" w:hAnsi="仿宋" w:eastAsia="仿宋"/>
          <w:sz w:val="24"/>
          <w:highlight w:val="none"/>
        </w:rPr>
        <w:t>1.</w:t>
      </w:r>
      <w:r>
        <w:rPr>
          <w:rFonts w:hint="eastAsia" w:ascii="仿宋" w:hAnsi="仿宋" w:eastAsia="仿宋"/>
          <w:sz w:val="24"/>
          <w:highlight w:val="none"/>
          <w:lang w:val="en-US" w:eastAsia="zh-CN"/>
        </w:rPr>
        <w:t>供应</w:t>
      </w:r>
      <w:r>
        <w:rPr>
          <w:rFonts w:hint="eastAsia" w:ascii="仿宋" w:hAnsi="仿宋" w:eastAsia="仿宋"/>
          <w:sz w:val="24"/>
          <w:highlight w:val="none"/>
        </w:rPr>
        <w:t>商必须是在中华人民共和国合法注册和按时进行年检的企业，具有独立承担民事责任的能力，具有有效的营业执照、税务登记证、组织机构代码证或三证合一的营业执照；</w:t>
      </w:r>
    </w:p>
    <w:p w14:paraId="1CAD6078">
      <w:pPr>
        <w:spacing w:line="360" w:lineRule="auto"/>
        <w:ind w:firstLine="480" w:firstLineChars="200"/>
        <w:rPr>
          <w:rFonts w:hint="eastAsia" w:ascii="仿宋" w:hAnsi="仿宋" w:eastAsia="仿宋"/>
          <w:sz w:val="24"/>
          <w:highlight w:val="none"/>
          <w:lang w:eastAsia="zh-CN"/>
        </w:rPr>
      </w:pPr>
      <w:r>
        <w:rPr>
          <w:rFonts w:hint="eastAsia" w:ascii="仿宋" w:hAnsi="仿宋" w:eastAsia="仿宋"/>
          <w:sz w:val="24"/>
          <w:highlight w:val="none"/>
        </w:rPr>
        <w:t>2.</w:t>
      </w:r>
      <w:r>
        <w:rPr>
          <w:rFonts w:hint="eastAsia" w:ascii="仿宋" w:hAnsi="仿宋" w:eastAsia="仿宋"/>
          <w:sz w:val="24"/>
          <w:highlight w:val="none"/>
          <w:lang w:val="en-US" w:eastAsia="zh-CN"/>
        </w:rPr>
        <w:t>供应</w:t>
      </w:r>
      <w:r>
        <w:rPr>
          <w:rFonts w:hint="eastAsia" w:ascii="仿宋" w:hAnsi="仿宋" w:eastAsia="仿宋"/>
          <w:sz w:val="24"/>
          <w:highlight w:val="none"/>
        </w:rPr>
        <w:t>商企业成立</w:t>
      </w:r>
      <w:r>
        <w:rPr>
          <w:rFonts w:hint="eastAsia" w:ascii="仿宋" w:hAnsi="仿宋" w:eastAsia="仿宋"/>
          <w:sz w:val="24"/>
          <w:highlight w:val="none"/>
          <w:lang w:val="en-US" w:eastAsia="zh-CN"/>
        </w:rPr>
        <w:t>3</w:t>
      </w:r>
      <w:r>
        <w:rPr>
          <w:rFonts w:hint="eastAsia" w:ascii="仿宋" w:hAnsi="仿宋" w:eastAsia="仿宋"/>
          <w:sz w:val="24"/>
          <w:highlight w:val="none"/>
        </w:rPr>
        <w:t>年以上，注册资本人民币</w:t>
      </w:r>
      <w:r>
        <w:rPr>
          <w:rFonts w:hint="eastAsia" w:ascii="仿宋" w:hAnsi="仿宋" w:eastAsia="仿宋"/>
          <w:sz w:val="24"/>
          <w:highlight w:val="none"/>
          <w:lang w:val="en-US" w:eastAsia="zh-CN"/>
        </w:rPr>
        <w:t>5</w:t>
      </w:r>
      <w:r>
        <w:rPr>
          <w:rFonts w:hint="eastAsia" w:ascii="仿宋" w:hAnsi="仿宋" w:eastAsia="仿宋"/>
          <w:sz w:val="24"/>
          <w:highlight w:val="none"/>
        </w:rPr>
        <w:t>00万元以上；</w:t>
      </w:r>
    </w:p>
    <w:p w14:paraId="3F6757A8">
      <w:pPr>
        <w:spacing w:line="360" w:lineRule="auto"/>
        <w:ind w:firstLine="480" w:firstLineChars="200"/>
        <w:rPr>
          <w:rFonts w:hint="eastAsia" w:ascii="仿宋" w:hAnsi="仿宋" w:eastAsia="仿宋"/>
          <w:sz w:val="24"/>
          <w:highlight w:val="none"/>
          <w:lang w:eastAsia="zh-CN"/>
        </w:rPr>
      </w:pPr>
      <w:r>
        <w:rPr>
          <w:rFonts w:hint="eastAsia" w:ascii="仿宋" w:hAnsi="仿宋" w:eastAsia="仿宋"/>
          <w:sz w:val="24"/>
          <w:highlight w:val="none"/>
        </w:rPr>
        <w:t>3.</w:t>
      </w:r>
      <w:r>
        <w:rPr>
          <w:rFonts w:hint="eastAsia" w:ascii="仿宋" w:hAnsi="仿宋" w:eastAsia="仿宋"/>
          <w:sz w:val="24"/>
          <w:highlight w:val="none"/>
          <w:lang w:val="en-US" w:eastAsia="zh-CN"/>
        </w:rPr>
        <w:t>供应</w:t>
      </w:r>
      <w:r>
        <w:rPr>
          <w:rFonts w:hint="eastAsia" w:ascii="仿宋" w:hAnsi="仿宋" w:eastAsia="仿宋"/>
          <w:sz w:val="24"/>
          <w:highlight w:val="none"/>
        </w:rPr>
        <w:t>商近年</w:t>
      </w:r>
      <w:r>
        <w:rPr>
          <w:rFonts w:hint="eastAsia" w:ascii="仿宋" w:hAnsi="仿宋" w:eastAsia="仿宋"/>
          <w:sz w:val="24"/>
          <w:highlight w:val="none"/>
          <w:lang w:val="en-US" w:eastAsia="zh-CN"/>
        </w:rPr>
        <w:t>如</w:t>
      </w:r>
      <w:r>
        <w:rPr>
          <w:rFonts w:hint="eastAsia" w:ascii="仿宋" w:hAnsi="仿宋" w:eastAsia="仿宋"/>
          <w:sz w:val="24"/>
          <w:highlight w:val="none"/>
        </w:rPr>
        <w:t>有保险行业的软件开发</w:t>
      </w:r>
      <w:r>
        <w:rPr>
          <w:rFonts w:hint="eastAsia" w:ascii="仿宋" w:hAnsi="仿宋" w:eastAsia="仿宋"/>
          <w:sz w:val="24"/>
          <w:highlight w:val="none"/>
          <w:lang w:eastAsia="zh-CN"/>
        </w:rPr>
        <w:t>、</w:t>
      </w:r>
      <w:r>
        <w:rPr>
          <w:rFonts w:hint="eastAsia" w:ascii="仿宋" w:hAnsi="仿宋" w:eastAsia="仿宋"/>
          <w:sz w:val="24"/>
          <w:highlight w:val="none"/>
          <w:lang w:val="en-US" w:eastAsia="zh-CN"/>
        </w:rPr>
        <w:t>人力外包服务</w:t>
      </w:r>
      <w:r>
        <w:rPr>
          <w:rFonts w:hint="eastAsia" w:ascii="仿宋" w:hAnsi="仿宋" w:eastAsia="仿宋"/>
          <w:sz w:val="24"/>
          <w:highlight w:val="none"/>
        </w:rPr>
        <w:t>经验，需提供业绩合同或用户证明复印件；</w:t>
      </w:r>
    </w:p>
    <w:p w14:paraId="578DCE43">
      <w:pPr>
        <w:spacing w:line="360" w:lineRule="auto"/>
        <w:ind w:firstLine="480" w:firstLineChars="200"/>
        <w:rPr>
          <w:rFonts w:hint="eastAsia" w:ascii="仿宋" w:hAnsi="仿宋" w:eastAsia="仿宋"/>
          <w:sz w:val="24"/>
          <w:highlight w:val="none"/>
          <w:lang w:eastAsia="zh-CN"/>
        </w:rPr>
      </w:pPr>
      <w:r>
        <w:rPr>
          <w:rFonts w:hint="eastAsia" w:ascii="仿宋" w:hAnsi="仿宋" w:eastAsia="仿宋"/>
          <w:sz w:val="24"/>
          <w:highlight w:val="none"/>
        </w:rPr>
        <w:t>4.</w:t>
      </w:r>
      <w:r>
        <w:rPr>
          <w:rFonts w:hint="eastAsia" w:ascii="仿宋" w:hAnsi="仿宋" w:eastAsia="仿宋"/>
          <w:sz w:val="24"/>
          <w:highlight w:val="none"/>
          <w:lang w:val="en-US" w:eastAsia="zh-CN"/>
        </w:rPr>
        <w:t>供应</w:t>
      </w:r>
      <w:r>
        <w:rPr>
          <w:rFonts w:hint="eastAsia" w:ascii="仿宋" w:hAnsi="仿宋" w:eastAsia="仿宋"/>
          <w:sz w:val="24"/>
          <w:highlight w:val="none"/>
        </w:rPr>
        <w:t>商近三年无重大分裂、业务转型等现象，发展稳定持续；（出具申明函）</w:t>
      </w:r>
    </w:p>
    <w:p w14:paraId="3B2C7EBC">
      <w:pPr>
        <w:spacing w:line="360" w:lineRule="auto"/>
        <w:ind w:firstLine="480" w:firstLineChars="200"/>
        <w:rPr>
          <w:rFonts w:hint="eastAsia" w:ascii="仿宋" w:hAnsi="仿宋" w:eastAsia="仿宋"/>
          <w:sz w:val="24"/>
          <w:highlight w:val="none"/>
          <w:lang w:eastAsia="zh-CN"/>
        </w:rPr>
      </w:pPr>
      <w:r>
        <w:rPr>
          <w:rFonts w:hint="eastAsia" w:ascii="仿宋" w:hAnsi="仿宋" w:eastAsia="仿宋"/>
          <w:sz w:val="24"/>
          <w:highlight w:val="none"/>
        </w:rPr>
        <w:t>5.</w:t>
      </w:r>
      <w:r>
        <w:rPr>
          <w:rFonts w:hint="eastAsia" w:ascii="仿宋" w:hAnsi="仿宋" w:eastAsia="仿宋"/>
          <w:sz w:val="24"/>
          <w:highlight w:val="none"/>
          <w:lang w:val="en-US" w:eastAsia="zh-CN"/>
        </w:rPr>
        <w:t>供应</w:t>
      </w:r>
      <w:r>
        <w:rPr>
          <w:rFonts w:hint="eastAsia" w:ascii="仿宋" w:hAnsi="仿宋" w:eastAsia="仿宋"/>
          <w:sz w:val="24"/>
          <w:highlight w:val="none"/>
        </w:rPr>
        <w:t>商近三年没有违反知识产权保护等国家有关法律的行为；（出具申明函）</w:t>
      </w:r>
    </w:p>
    <w:p w14:paraId="3B1C8176">
      <w:pPr>
        <w:spacing w:line="360" w:lineRule="auto"/>
        <w:ind w:firstLine="480" w:firstLineChars="200"/>
        <w:rPr>
          <w:rFonts w:hint="eastAsia" w:ascii="仿宋" w:hAnsi="仿宋" w:eastAsia="仿宋"/>
          <w:sz w:val="24"/>
          <w:highlight w:val="none"/>
          <w:lang w:eastAsia="zh-CN"/>
        </w:rPr>
      </w:pPr>
      <w:r>
        <w:rPr>
          <w:rFonts w:hint="eastAsia" w:ascii="仿宋" w:hAnsi="仿宋" w:eastAsia="仿宋"/>
          <w:sz w:val="24"/>
          <w:highlight w:val="none"/>
        </w:rPr>
        <w:t>6.</w:t>
      </w:r>
      <w:r>
        <w:rPr>
          <w:rFonts w:hint="eastAsia" w:ascii="仿宋" w:hAnsi="仿宋" w:eastAsia="仿宋"/>
          <w:sz w:val="24"/>
          <w:highlight w:val="none"/>
          <w:lang w:val="en-US" w:eastAsia="zh-CN"/>
        </w:rPr>
        <w:t>供应</w:t>
      </w:r>
      <w:r>
        <w:rPr>
          <w:rFonts w:hint="eastAsia" w:ascii="仿宋" w:hAnsi="仿宋" w:eastAsia="仿宋"/>
          <w:sz w:val="24"/>
          <w:highlight w:val="none"/>
        </w:rPr>
        <w:t>商具有固定的工作场所；具有软件产品质量和技术服务质量保证的手段与能力；</w:t>
      </w:r>
    </w:p>
    <w:p w14:paraId="56F28EE9">
      <w:pPr>
        <w:spacing w:line="360" w:lineRule="auto"/>
        <w:ind w:firstLine="480" w:firstLineChars="200"/>
        <w:rPr>
          <w:rFonts w:hint="eastAsia" w:ascii="仿宋" w:hAnsi="仿宋" w:eastAsia="仿宋"/>
          <w:sz w:val="24"/>
          <w:highlight w:val="none"/>
          <w:lang w:eastAsia="zh-CN"/>
        </w:rPr>
      </w:pPr>
      <w:r>
        <w:rPr>
          <w:rFonts w:hint="eastAsia" w:ascii="仿宋" w:hAnsi="仿宋" w:eastAsia="仿宋"/>
          <w:sz w:val="24"/>
          <w:highlight w:val="none"/>
        </w:rPr>
        <w:t>7.</w:t>
      </w:r>
      <w:r>
        <w:rPr>
          <w:rFonts w:hint="eastAsia" w:ascii="仿宋" w:hAnsi="仿宋" w:eastAsia="仿宋"/>
          <w:sz w:val="24"/>
          <w:highlight w:val="none"/>
          <w:lang w:val="en-US" w:eastAsia="zh-CN"/>
        </w:rPr>
        <w:t>供应</w:t>
      </w:r>
      <w:r>
        <w:rPr>
          <w:rFonts w:hint="eastAsia" w:ascii="仿宋" w:hAnsi="仿宋" w:eastAsia="仿宋"/>
          <w:sz w:val="24"/>
          <w:highlight w:val="none"/>
        </w:rPr>
        <w:t>商应独立</w:t>
      </w:r>
      <w:r>
        <w:rPr>
          <w:rFonts w:hint="eastAsia" w:ascii="仿宋" w:hAnsi="仿宋" w:eastAsia="仿宋"/>
          <w:sz w:val="24"/>
          <w:highlight w:val="none"/>
          <w:lang w:val="en-US" w:eastAsia="zh-CN"/>
        </w:rPr>
        <w:t>落实本项目采购服务</w:t>
      </w:r>
      <w:r>
        <w:rPr>
          <w:rFonts w:hint="eastAsia" w:ascii="仿宋" w:hAnsi="仿宋" w:eastAsia="仿宋"/>
          <w:sz w:val="24"/>
          <w:highlight w:val="none"/>
        </w:rPr>
        <w:t>，不得以任何形式转包；</w:t>
      </w:r>
    </w:p>
    <w:p w14:paraId="690E6E8A">
      <w:pPr>
        <w:spacing w:line="360" w:lineRule="auto"/>
        <w:ind w:firstLine="480" w:firstLineChars="200"/>
        <w:rPr>
          <w:rFonts w:hint="eastAsia" w:ascii="仿宋" w:hAnsi="仿宋" w:eastAsia="仿宋"/>
          <w:sz w:val="24"/>
          <w:highlight w:val="none"/>
          <w:lang w:val="en-US" w:eastAsia="zh-CN"/>
        </w:rPr>
      </w:pPr>
      <w:r>
        <w:rPr>
          <w:rFonts w:hint="eastAsia" w:ascii="仿宋" w:hAnsi="仿宋" w:eastAsia="仿宋"/>
          <w:sz w:val="24"/>
          <w:highlight w:val="none"/>
        </w:rPr>
        <w:t>8.</w:t>
      </w:r>
      <w:r>
        <w:rPr>
          <w:rFonts w:hint="eastAsia" w:ascii="仿宋" w:hAnsi="仿宋" w:eastAsia="仿宋"/>
          <w:sz w:val="24"/>
          <w:highlight w:val="none"/>
          <w:lang w:val="en-US" w:eastAsia="zh-CN"/>
        </w:rPr>
        <w:t>供应</w:t>
      </w:r>
      <w:r>
        <w:rPr>
          <w:rFonts w:hint="eastAsia" w:ascii="仿宋" w:hAnsi="仿宋" w:eastAsia="仿宋"/>
          <w:sz w:val="24"/>
          <w:highlight w:val="none"/>
        </w:rPr>
        <w:t>商需按太平洋安信农业保险股份有限公司要求时间范围内完成项目各项</w:t>
      </w:r>
      <w:r>
        <w:rPr>
          <w:rFonts w:hint="eastAsia" w:ascii="仿宋" w:hAnsi="仿宋" w:eastAsia="仿宋"/>
          <w:sz w:val="24"/>
          <w:highlight w:val="none"/>
          <w:lang w:val="en-US" w:eastAsia="zh-CN"/>
        </w:rPr>
        <w:t>服务</w:t>
      </w:r>
      <w:r>
        <w:rPr>
          <w:rFonts w:hint="eastAsia" w:ascii="仿宋" w:hAnsi="仿宋" w:eastAsia="仿宋"/>
          <w:sz w:val="24"/>
          <w:highlight w:val="none"/>
        </w:rPr>
        <w:t>工作</w:t>
      </w:r>
      <w:r>
        <w:rPr>
          <w:rFonts w:hint="eastAsia" w:ascii="仿宋" w:hAnsi="仿宋" w:eastAsia="仿宋"/>
          <w:sz w:val="24"/>
          <w:highlight w:val="none"/>
          <w:lang w:eastAsia="zh-CN"/>
        </w:rPr>
        <w:t>；</w:t>
      </w:r>
    </w:p>
    <w:p w14:paraId="06E0DB94">
      <w:pPr>
        <w:spacing w:line="360" w:lineRule="auto"/>
        <w:ind w:firstLine="480" w:firstLineChars="200"/>
        <w:rPr>
          <w:rFonts w:hint="eastAsia" w:ascii="仿宋" w:hAnsi="仿宋" w:eastAsia="仿宋" w:cs="Times New Roman"/>
          <w:sz w:val="24"/>
          <w:szCs w:val="28"/>
          <w:highlight w:val="none"/>
          <w:lang w:val="en-US" w:eastAsia="zh-CN"/>
        </w:rPr>
      </w:pPr>
      <w:r>
        <w:rPr>
          <w:rFonts w:hint="eastAsia" w:ascii="仿宋" w:hAnsi="仿宋" w:eastAsia="仿宋" w:cs="Times New Roman"/>
          <w:sz w:val="24"/>
          <w:szCs w:val="28"/>
          <w:highlight w:val="none"/>
          <w:lang w:val="en-US" w:eastAsia="zh-CN"/>
        </w:rPr>
        <w:t>9.供应</w:t>
      </w:r>
      <w:r>
        <w:rPr>
          <w:rFonts w:hint="eastAsia" w:ascii="仿宋" w:hAnsi="仿宋" w:eastAsia="仿宋" w:cs="仿宋"/>
          <w:sz w:val="24"/>
          <w:highlight w:val="none"/>
        </w:rPr>
        <w:t>商需提供符合</w:t>
      </w:r>
      <w:r>
        <w:rPr>
          <w:rFonts w:hint="eastAsia" w:ascii="仿宋" w:hAnsi="仿宋" w:eastAsia="仿宋" w:cs="仿宋"/>
          <w:sz w:val="24"/>
          <w:highlight w:val="none"/>
          <w:lang w:val="en-US" w:eastAsia="zh-CN"/>
        </w:rPr>
        <w:t>要求</w:t>
      </w:r>
      <w:r>
        <w:rPr>
          <w:rFonts w:hint="eastAsia" w:ascii="仿宋" w:hAnsi="仿宋" w:eastAsia="仿宋" w:cs="仿宋"/>
          <w:sz w:val="24"/>
          <w:highlight w:val="none"/>
        </w:rPr>
        <w:t>的</w:t>
      </w:r>
      <w:r>
        <w:rPr>
          <w:rFonts w:hint="eastAsia" w:ascii="仿宋" w:hAnsi="仿宋" w:eastAsia="仿宋" w:cs="仿宋"/>
          <w:sz w:val="24"/>
          <w:highlight w:val="none"/>
          <w:lang w:val="en-US" w:eastAsia="zh-CN"/>
        </w:rPr>
        <w:t>驻场服务人员</w:t>
      </w:r>
      <w:r>
        <w:rPr>
          <w:rFonts w:hint="eastAsia" w:ascii="仿宋" w:hAnsi="仿宋" w:eastAsia="仿宋" w:cs="仿宋"/>
          <w:sz w:val="24"/>
          <w:highlight w:val="none"/>
        </w:rPr>
        <w:t>，承诺按时、保质完成</w:t>
      </w:r>
      <w:r>
        <w:rPr>
          <w:rFonts w:hint="eastAsia" w:ascii="仿宋" w:hAnsi="仿宋" w:eastAsia="仿宋" w:cs="仿宋"/>
          <w:sz w:val="24"/>
          <w:highlight w:val="none"/>
          <w:lang w:val="en-US" w:eastAsia="zh-CN"/>
        </w:rPr>
        <w:t>各项工作</w:t>
      </w:r>
      <w:r>
        <w:rPr>
          <w:rFonts w:hint="eastAsia" w:ascii="仿宋" w:hAnsi="仿宋" w:eastAsia="仿宋" w:cs="仿宋"/>
          <w:sz w:val="24"/>
          <w:highlight w:val="none"/>
        </w:rPr>
        <w:t>，并在投标文件中明确服务质量及安全保密承诺</w:t>
      </w:r>
      <w:r>
        <w:rPr>
          <w:rFonts w:hint="eastAsia" w:ascii="仿宋" w:hAnsi="仿宋" w:eastAsia="仿宋" w:cs="仿宋"/>
          <w:sz w:val="24"/>
          <w:highlight w:val="none"/>
          <w:lang w:eastAsia="zh-CN"/>
        </w:rPr>
        <w:t>；</w:t>
      </w:r>
    </w:p>
    <w:p w14:paraId="659F378A">
      <w:pPr>
        <w:spacing w:line="360" w:lineRule="auto"/>
        <w:ind w:firstLine="480" w:firstLineChars="200"/>
        <w:rPr>
          <w:rFonts w:hint="eastAsia" w:ascii="仿宋" w:hAnsi="仿宋" w:eastAsia="仿宋" w:cs="仿宋"/>
          <w:sz w:val="24"/>
          <w:highlight w:val="none"/>
        </w:rPr>
      </w:pPr>
      <w:r>
        <w:rPr>
          <w:rFonts w:hint="eastAsia" w:ascii="仿宋" w:hAnsi="仿宋" w:eastAsia="仿宋" w:cs="Times New Roman"/>
          <w:sz w:val="24"/>
          <w:szCs w:val="28"/>
          <w:highlight w:val="none"/>
          <w:lang w:val="en-US" w:eastAsia="zh-CN"/>
        </w:rPr>
        <w:t>10.供应商需</w:t>
      </w:r>
      <w:r>
        <w:rPr>
          <w:rFonts w:hint="eastAsia" w:ascii="仿宋" w:hAnsi="仿宋" w:eastAsia="仿宋"/>
          <w:sz w:val="24"/>
          <w:highlight w:val="none"/>
        </w:rPr>
        <w:t>根据我方的标准及要求，负责做好</w:t>
      </w:r>
      <w:r>
        <w:rPr>
          <w:rFonts w:hint="eastAsia" w:ascii="仿宋" w:hAnsi="仿宋" w:eastAsia="仿宋"/>
          <w:sz w:val="24"/>
          <w:highlight w:val="none"/>
          <w:lang w:val="en-US" w:eastAsia="zh-CN"/>
        </w:rPr>
        <w:t>驻场</w:t>
      </w:r>
      <w:r>
        <w:rPr>
          <w:rFonts w:hint="eastAsia" w:ascii="仿宋" w:hAnsi="仿宋" w:eastAsia="仿宋"/>
          <w:sz w:val="24"/>
          <w:highlight w:val="none"/>
        </w:rPr>
        <w:t>人员的培训</w:t>
      </w:r>
      <w:r>
        <w:rPr>
          <w:rFonts w:hint="eastAsia" w:ascii="仿宋" w:hAnsi="仿宋" w:eastAsia="仿宋"/>
          <w:sz w:val="24"/>
          <w:highlight w:val="none"/>
          <w:lang w:eastAsia="zh-CN"/>
        </w:rPr>
        <w:t>、</w:t>
      </w:r>
      <w:r>
        <w:rPr>
          <w:rFonts w:hint="eastAsia" w:ascii="仿宋" w:hAnsi="仿宋" w:eastAsia="仿宋" w:cs="仿宋"/>
          <w:sz w:val="24"/>
          <w:highlight w:val="none"/>
        </w:rPr>
        <w:t>技术支持</w:t>
      </w:r>
      <w:r>
        <w:rPr>
          <w:rFonts w:hint="eastAsia" w:ascii="仿宋" w:hAnsi="仿宋" w:eastAsia="仿宋" w:cs="仿宋"/>
          <w:sz w:val="24"/>
          <w:highlight w:val="none"/>
          <w:lang w:val="en-US" w:eastAsia="zh-CN"/>
        </w:rPr>
        <w:t>等</w:t>
      </w:r>
      <w:r>
        <w:rPr>
          <w:rFonts w:hint="eastAsia" w:ascii="仿宋" w:hAnsi="仿宋" w:eastAsia="仿宋"/>
          <w:sz w:val="24"/>
          <w:highlight w:val="none"/>
        </w:rPr>
        <w:t>工作。</w:t>
      </w:r>
    </w:p>
    <w:p w14:paraId="3D229F79">
      <w:pPr>
        <w:numPr>
          <w:ilvl w:val="-1"/>
          <w:numId w:val="0"/>
        </w:numPr>
        <w:spacing w:line="360" w:lineRule="auto"/>
        <w:ind w:left="0" w:firstLine="0" w:firstLineChars="0"/>
        <w:outlineLvl w:val="0"/>
        <w:rPr>
          <w:rFonts w:ascii="黑体" w:hAnsi="黑体" w:eastAsia="黑体" w:cs="黑体"/>
          <w:b/>
          <w:sz w:val="24"/>
          <w:highlight w:val="none"/>
        </w:rPr>
      </w:pPr>
      <w:r>
        <w:rPr>
          <w:rFonts w:hint="eastAsia" w:ascii="黑体" w:hAnsi="黑体" w:eastAsia="黑体" w:cs="黑体"/>
          <w:b/>
          <w:sz w:val="24"/>
          <w:highlight w:val="none"/>
          <w:lang w:val="en-US" w:eastAsia="zh-CN"/>
        </w:rPr>
        <w:t>九、</w:t>
      </w:r>
      <w:r>
        <w:rPr>
          <w:rFonts w:hint="eastAsia" w:ascii="黑体" w:hAnsi="黑体" w:eastAsia="黑体" w:cs="黑体"/>
          <w:b/>
          <w:sz w:val="24"/>
          <w:highlight w:val="none"/>
        </w:rPr>
        <w:t>项目价格构成</w:t>
      </w:r>
    </w:p>
    <w:p w14:paraId="28D13B62">
      <w:pPr>
        <w:tabs>
          <w:tab w:val="left" w:pos="90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项目金额按照项目形式进行报价，</w:t>
      </w:r>
      <w:r>
        <w:rPr>
          <w:rFonts w:hint="eastAsia" w:ascii="仿宋" w:hAnsi="仿宋" w:eastAsia="仿宋" w:cs="仿宋"/>
          <w:sz w:val="24"/>
          <w:highlight w:val="none"/>
          <w:lang w:val="en-US" w:eastAsia="zh-CN"/>
        </w:rPr>
        <w:t>参与竞价单位</w:t>
      </w:r>
      <w:r>
        <w:rPr>
          <w:rFonts w:hint="eastAsia" w:ascii="仿宋" w:hAnsi="仿宋" w:eastAsia="仿宋" w:cs="仿宋"/>
          <w:sz w:val="24"/>
          <w:highlight w:val="none"/>
        </w:rPr>
        <w:t>应根据</w:t>
      </w:r>
      <w:r>
        <w:rPr>
          <w:rFonts w:hint="eastAsia" w:ascii="仿宋" w:hAnsi="仿宋" w:eastAsia="仿宋" w:cs="仿宋"/>
          <w:sz w:val="24"/>
          <w:highlight w:val="none"/>
          <w:lang w:eastAsia="zh-CN"/>
        </w:rPr>
        <w:t>参与竞价单位</w:t>
      </w:r>
      <w:r>
        <w:rPr>
          <w:rFonts w:hint="eastAsia" w:ascii="仿宋" w:hAnsi="仿宋" w:eastAsia="仿宋" w:cs="仿宋"/>
          <w:sz w:val="24"/>
          <w:highlight w:val="none"/>
        </w:rPr>
        <w:t>开发、维护服务报价、硬件采购报价并结合我司开发功能需求对开发周期、成本、资源等进行综合评估，并在此基础上提出项目报价，最终项目总费用根据最终报价确定。</w:t>
      </w:r>
    </w:p>
    <w:p w14:paraId="5A993A73">
      <w:pPr>
        <w:numPr>
          <w:ilvl w:val="-1"/>
          <w:numId w:val="0"/>
        </w:numPr>
        <w:spacing w:line="360" w:lineRule="auto"/>
        <w:ind w:left="0" w:firstLine="0" w:firstLineChars="0"/>
        <w:outlineLvl w:val="0"/>
        <w:rPr>
          <w:rFonts w:ascii="黑体" w:hAnsi="黑体" w:eastAsia="黑体" w:cs="黑体"/>
          <w:b/>
          <w:sz w:val="24"/>
          <w:highlight w:val="none"/>
        </w:rPr>
      </w:pPr>
      <w:r>
        <w:rPr>
          <w:rFonts w:hint="eastAsia" w:ascii="黑体" w:hAnsi="黑体" w:eastAsia="黑体" w:cs="黑体"/>
          <w:b/>
          <w:sz w:val="24"/>
          <w:highlight w:val="none"/>
          <w:lang w:val="en-US" w:eastAsia="zh-CN"/>
        </w:rPr>
        <w:t>十、</w:t>
      </w:r>
      <w:r>
        <w:rPr>
          <w:rFonts w:hint="eastAsia" w:ascii="黑体" w:hAnsi="黑体" w:eastAsia="黑体" w:cs="黑体"/>
          <w:b/>
          <w:sz w:val="24"/>
          <w:highlight w:val="none"/>
        </w:rPr>
        <w:t>报价文件构成</w:t>
      </w:r>
    </w:p>
    <w:p w14:paraId="22977D59">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（报价文件必须严格按照以下顺序装订好，并加盖公章或合同章，正本一份，副本一份</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电子版一份。</w:t>
      </w:r>
      <w:r>
        <w:rPr>
          <w:rFonts w:hint="eastAsia" w:ascii="仿宋" w:hAnsi="仿宋" w:eastAsia="仿宋" w:cs="仿宋"/>
          <w:sz w:val="24"/>
          <w:highlight w:val="none"/>
        </w:rPr>
        <w:t>）</w:t>
      </w:r>
    </w:p>
    <w:p w14:paraId="7E9904FE">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1.文件构成目录（须标明页码）；</w:t>
      </w:r>
    </w:p>
    <w:p w14:paraId="36BBD39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w:t>
      </w:r>
      <w:r>
        <w:rPr>
          <w:rFonts w:hint="eastAsia" w:ascii="仿宋" w:hAnsi="仿宋" w:eastAsia="仿宋" w:cs="仿宋"/>
          <w:sz w:val="24"/>
          <w:highlight w:val="none"/>
          <w:lang w:eastAsia="zh-CN"/>
        </w:rPr>
        <w:t>参与竞价单位</w:t>
      </w:r>
      <w:r>
        <w:rPr>
          <w:rFonts w:hint="eastAsia" w:ascii="仿宋" w:hAnsi="仿宋" w:eastAsia="仿宋" w:cs="仿宋"/>
          <w:sz w:val="24"/>
          <w:highlight w:val="none"/>
        </w:rPr>
        <w:t>简介，包括公司基本情况介绍、营业服务范围、团队介绍等；</w:t>
      </w:r>
    </w:p>
    <w:p w14:paraId="2834DDE7">
      <w:pPr>
        <w:spacing w:line="360" w:lineRule="auto"/>
        <w:ind w:firstLine="480" w:firstLineChars="200"/>
        <w:rPr>
          <w:rFonts w:hint="default" w:eastAsia="仿宋"/>
          <w:highlight w:val="none"/>
          <w:lang w:val="en-US" w:eastAsia="zh-CN"/>
        </w:rPr>
      </w:pPr>
      <w:r>
        <w:rPr>
          <w:rFonts w:hint="eastAsia" w:ascii="仿宋" w:hAnsi="仿宋" w:eastAsia="仿宋" w:cs="仿宋"/>
          <w:kern w:val="2"/>
          <w:sz w:val="24"/>
          <w:szCs w:val="24"/>
          <w:highlight w:val="none"/>
          <w:lang w:val="en-US" w:eastAsia="zh-CN" w:bidi="ar-SA"/>
        </w:rPr>
        <w:t>3.加盖公章的法定代表人授权书；</w:t>
      </w:r>
    </w:p>
    <w:p w14:paraId="72CE9FF2">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.加盖公章的企业资质材料复印件，包括经最新年检的企业营业执照、税务登记证明、企业组织机构代码证等；</w:t>
      </w:r>
    </w:p>
    <w:p w14:paraId="4A1ED8FF">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.加盖公章的</w:t>
      </w:r>
      <w:r>
        <w:rPr>
          <w:rFonts w:hint="eastAsia" w:ascii="仿宋" w:hAnsi="仿宋" w:eastAsia="仿宋" w:cs="仿宋"/>
          <w:sz w:val="24"/>
          <w:highlight w:val="none"/>
          <w:lang w:val="en-US" w:eastAsia="zh-CN"/>
        </w:rPr>
        <w:t>公司、服务人员</w:t>
      </w:r>
      <w:r>
        <w:rPr>
          <w:rFonts w:hint="eastAsia" w:ascii="仿宋" w:hAnsi="仿宋" w:eastAsia="仿宋" w:cs="仿宋"/>
          <w:sz w:val="24"/>
          <w:highlight w:val="none"/>
        </w:rPr>
        <w:t>技术资质材料复印件，包括能证明自己技术能力的资质证书、认证证书</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人员简历</w:t>
      </w:r>
      <w:r>
        <w:rPr>
          <w:rFonts w:hint="eastAsia" w:ascii="仿宋" w:hAnsi="仿宋" w:eastAsia="仿宋" w:cs="仿宋"/>
          <w:sz w:val="24"/>
          <w:highlight w:val="none"/>
        </w:rPr>
        <w:t>等；</w:t>
      </w:r>
    </w:p>
    <w:p w14:paraId="4A3EAE81">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.能证明自己信誉、管理水平的</w:t>
      </w:r>
      <w:r>
        <w:rPr>
          <w:rFonts w:hint="eastAsia" w:ascii="仿宋" w:hAnsi="仿宋" w:eastAsia="仿宋" w:cs="仿宋"/>
          <w:sz w:val="24"/>
          <w:highlight w:val="none"/>
          <w:lang w:val="en-US" w:eastAsia="zh-CN"/>
        </w:rPr>
        <w:t>其他</w:t>
      </w:r>
      <w:r>
        <w:rPr>
          <w:rFonts w:hint="eastAsia" w:ascii="仿宋" w:hAnsi="仿宋" w:eastAsia="仿宋" w:cs="仿宋"/>
          <w:sz w:val="24"/>
          <w:highlight w:val="none"/>
        </w:rPr>
        <w:t>证明文件；</w:t>
      </w:r>
    </w:p>
    <w:p w14:paraId="4F91DA73">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7.项目实施及售后服务</w:t>
      </w:r>
      <w:r>
        <w:rPr>
          <w:rFonts w:hint="eastAsia" w:ascii="仿宋" w:hAnsi="仿宋" w:eastAsia="仿宋" w:cs="仿宋"/>
          <w:sz w:val="24"/>
          <w:highlight w:val="none"/>
          <w:lang w:val="en-US" w:eastAsia="zh-CN"/>
        </w:rPr>
        <w:t>方案；</w:t>
      </w:r>
    </w:p>
    <w:p w14:paraId="160438D0">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8.项目报价单（</w:t>
      </w:r>
      <w:r>
        <w:rPr>
          <w:rFonts w:hint="eastAsia" w:ascii="仿宋" w:hAnsi="仿宋" w:eastAsia="仿宋" w:cs="仿宋"/>
          <w:sz w:val="24"/>
          <w:highlight w:val="none"/>
          <w:lang w:val="en-US" w:eastAsia="zh-CN"/>
        </w:rPr>
        <w:t>参与竞价单位</w:t>
      </w:r>
      <w:r>
        <w:rPr>
          <w:rFonts w:hint="eastAsia" w:ascii="仿宋" w:hAnsi="仿宋" w:eastAsia="仿宋" w:cs="仿宋"/>
          <w:sz w:val="24"/>
          <w:highlight w:val="none"/>
        </w:rPr>
        <w:t>根据</w:t>
      </w:r>
      <w:r>
        <w:rPr>
          <w:rFonts w:hint="eastAsia" w:ascii="仿宋" w:hAnsi="仿宋" w:eastAsia="仿宋" w:cs="仿宋"/>
          <w:sz w:val="24"/>
          <w:highlight w:val="none"/>
          <w:lang w:val="en-US" w:eastAsia="zh-CN"/>
        </w:rPr>
        <w:t>自身响应程度分别填写</w:t>
      </w:r>
      <w:r>
        <w:rPr>
          <w:rFonts w:hint="eastAsia" w:ascii="仿宋" w:hAnsi="仿宋" w:eastAsia="仿宋" w:cs="仿宋"/>
          <w:sz w:val="24"/>
          <w:highlight w:val="none"/>
        </w:rPr>
        <w:t>附表1</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附表2</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其中附表1为必填</w:t>
      </w:r>
      <w:r>
        <w:rPr>
          <w:rFonts w:hint="eastAsia" w:ascii="仿宋" w:hAnsi="仿宋" w:eastAsia="仿宋" w:cs="仿宋"/>
          <w:sz w:val="24"/>
          <w:highlight w:val="none"/>
        </w:rPr>
        <w:t>；</w:t>
      </w:r>
      <w:r>
        <w:rPr>
          <w:rFonts w:hint="eastAsia" w:ascii="仿宋" w:hAnsi="仿宋" w:eastAsia="仿宋" w:cs="仿宋"/>
          <w:b/>
          <w:bCs/>
          <w:sz w:val="24"/>
          <w:highlight w:val="none"/>
        </w:rPr>
        <w:t>授权代表须手写签字，并加盖公章，否则视为无效投标文件</w:t>
      </w:r>
      <w:r>
        <w:rPr>
          <w:rFonts w:hint="eastAsia" w:ascii="仿宋" w:hAnsi="仿宋" w:eastAsia="仿宋" w:cs="仿宋"/>
          <w:sz w:val="24"/>
          <w:highlight w:val="none"/>
        </w:rPr>
        <w:t>）</w:t>
      </w:r>
      <w:r>
        <w:rPr>
          <w:rFonts w:hint="eastAsia" w:ascii="仿宋" w:hAnsi="仿宋" w:eastAsia="仿宋" w:cs="仿宋"/>
          <w:sz w:val="24"/>
          <w:highlight w:val="none"/>
          <w:lang w:eastAsia="zh-CN"/>
        </w:rPr>
        <w:t>。</w:t>
      </w:r>
    </w:p>
    <w:p w14:paraId="2BE50D95">
      <w:pPr>
        <w:numPr>
          <w:ilvl w:val="-1"/>
          <w:numId w:val="0"/>
        </w:numPr>
        <w:spacing w:line="360" w:lineRule="auto"/>
        <w:ind w:left="0" w:firstLine="0" w:firstLineChars="0"/>
        <w:outlineLvl w:val="0"/>
        <w:rPr>
          <w:rFonts w:ascii="黑体" w:hAnsi="黑体" w:eastAsia="黑体" w:cs="黑体"/>
          <w:b/>
          <w:sz w:val="24"/>
          <w:highlight w:val="none"/>
        </w:rPr>
      </w:pPr>
      <w:r>
        <w:rPr>
          <w:rFonts w:hint="eastAsia" w:ascii="黑体" w:hAnsi="黑体" w:eastAsia="黑体" w:cs="黑体"/>
          <w:b/>
          <w:sz w:val="24"/>
          <w:highlight w:val="none"/>
          <w:lang w:val="en-US" w:eastAsia="zh-CN"/>
        </w:rPr>
        <w:t>十一、</w:t>
      </w:r>
      <w:r>
        <w:rPr>
          <w:rFonts w:hint="eastAsia" w:ascii="黑体" w:hAnsi="黑体" w:eastAsia="黑体" w:cs="黑体"/>
          <w:b/>
          <w:sz w:val="24"/>
          <w:highlight w:val="none"/>
        </w:rPr>
        <w:t>特别提示</w:t>
      </w:r>
    </w:p>
    <w:p w14:paraId="078CA003">
      <w:pPr>
        <w:widowControl/>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1.请</w:t>
      </w:r>
      <w:r>
        <w:rPr>
          <w:rFonts w:hint="eastAsia" w:ascii="仿宋" w:hAnsi="仿宋" w:eastAsia="仿宋" w:cs="仿宋"/>
          <w:bCs/>
          <w:sz w:val="24"/>
          <w:highlight w:val="none"/>
          <w:lang w:val="en-US" w:eastAsia="zh-CN"/>
        </w:rPr>
        <w:t>参与竞价单位</w:t>
      </w:r>
      <w:r>
        <w:rPr>
          <w:rFonts w:hint="eastAsia" w:ascii="仿宋" w:hAnsi="仿宋" w:eastAsia="仿宋" w:cs="仿宋"/>
          <w:bCs/>
          <w:sz w:val="24"/>
          <w:highlight w:val="none"/>
        </w:rPr>
        <w:t>将</w:t>
      </w:r>
      <w:r>
        <w:rPr>
          <w:rFonts w:hint="eastAsia" w:ascii="仿宋" w:hAnsi="仿宋" w:eastAsia="仿宋" w:cs="仿宋"/>
          <w:bCs/>
          <w:sz w:val="24"/>
          <w:highlight w:val="none"/>
          <w:lang w:val="en-US" w:eastAsia="zh-CN"/>
        </w:rPr>
        <w:t>本项目涉及的其他</w:t>
      </w:r>
      <w:r>
        <w:rPr>
          <w:rFonts w:hint="eastAsia" w:ascii="仿宋" w:hAnsi="仿宋" w:eastAsia="仿宋" w:cs="仿宋"/>
          <w:bCs/>
          <w:sz w:val="24"/>
          <w:highlight w:val="none"/>
        </w:rPr>
        <w:t>服务所需的费用（如果有）全部计入总报价中，不得单独列出，否则会造成我司无法进行评议，使您的报价错过被选中的机会；</w:t>
      </w:r>
    </w:p>
    <w:p w14:paraId="59621046">
      <w:pPr>
        <w:widowControl/>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2.《报价单》须按照规定格式填报，不得修改，否则按不合格报价文件处理；</w:t>
      </w:r>
    </w:p>
    <w:p w14:paraId="70866365">
      <w:pPr>
        <w:widowControl/>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3.报价文件需盖章（公章或合同红章）并经授权代表签字后，方可生效；</w:t>
      </w:r>
    </w:p>
    <w:p w14:paraId="485A84BD">
      <w:pPr>
        <w:widowControl/>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.报价文件报送超过规定时间，我公司将不予受理；</w:t>
      </w:r>
    </w:p>
    <w:p w14:paraId="4F2505F7">
      <w:pPr>
        <w:widowControl/>
        <w:spacing w:line="360" w:lineRule="auto"/>
        <w:ind w:firstLine="480" w:firstLineChars="200"/>
        <w:jc w:val="left"/>
        <w:rPr>
          <w:rFonts w:hint="eastAsia" w:ascii="仿宋" w:hAnsi="仿宋" w:eastAsia="仿宋" w:cs="仿宋"/>
          <w:bCs/>
          <w:sz w:val="24"/>
          <w:highlight w:val="none"/>
          <w:lang w:eastAsia="zh-CN"/>
        </w:rPr>
      </w:pPr>
      <w:r>
        <w:rPr>
          <w:rFonts w:hint="eastAsia" w:ascii="仿宋" w:hAnsi="仿宋" w:eastAsia="仿宋" w:cs="仿宋"/>
          <w:bCs/>
          <w:sz w:val="24"/>
          <w:highlight w:val="none"/>
          <w:lang w:val="en-US" w:eastAsia="zh-CN"/>
        </w:rPr>
        <w:t>5</w:t>
      </w:r>
      <w:r>
        <w:rPr>
          <w:rFonts w:hint="eastAsia" w:ascii="仿宋" w:hAnsi="仿宋" w:eastAsia="仿宋" w:cs="仿宋"/>
          <w:bCs/>
          <w:sz w:val="24"/>
          <w:highlight w:val="none"/>
        </w:rPr>
        <w:t>.</w:t>
      </w:r>
      <w:r>
        <w:rPr>
          <w:rFonts w:hint="eastAsia" w:ascii="仿宋" w:hAnsi="仿宋" w:eastAsia="仿宋" w:cs="仿宋"/>
          <w:bCs/>
          <w:sz w:val="24"/>
          <w:highlight w:val="none"/>
          <w:lang w:eastAsia="zh-CN"/>
        </w:rPr>
        <w:t>参与竞价单位</w:t>
      </w:r>
      <w:r>
        <w:rPr>
          <w:rFonts w:hint="eastAsia" w:ascii="仿宋" w:hAnsi="仿宋" w:eastAsia="仿宋" w:cs="仿宋"/>
          <w:bCs/>
          <w:sz w:val="24"/>
          <w:highlight w:val="none"/>
        </w:rPr>
        <w:t>提交的文件务必装订成册并加盖骑缝章</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并进行密封和标记</w:t>
      </w:r>
      <w:r>
        <w:rPr>
          <w:rFonts w:hint="eastAsia" w:ascii="仿宋" w:hAnsi="仿宋" w:eastAsia="仿宋" w:cs="仿宋"/>
          <w:bCs/>
          <w:sz w:val="24"/>
          <w:highlight w:val="none"/>
          <w:lang w:eastAsia="zh-CN"/>
        </w:rPr>
        <w:t>；</w:t>
      </w:r>
    </w:p>
    <w:p w14:paraId="21B43198">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供应商在报价文件上提供的报价将作为本项目采购合同的成交价格的重要依据，请审慎报价</w:t>
      </w:r>
      <w:r>
        <w:rPr>
          <w:rFonts w:hint="eastAsia" w:ascii="仿宋" w:hAnsi="仿宋" w:eastAsia="仿宋" w:cs="仿宋"/>
          <w:sz w:val="24"/>
          <w:highlight w:val="none"/>
          <w:lang w:eastAsia="zh-CN"/>
        </w:rPr>
        <w:t>；</w:t>
      </w:r>
    </w:p>
    <w:p w14:paraId="4799FC68">
      <w:pPr>
        <w:widowControl/>
        <w:spacing w:line="360" w:lineRule="auto"/>
        <w:ind w:firstLine="480" w:firstLineChars="200"/>
        <w:jc w:val="left"/>
        <w:rPr>
          <w:rFonts w:hint="eastAsia" w:ascii="仿宋" w:hAnsi="仿宋" w:eastAsia="仿宋" w:cs="仿宋"/>
          <w:bCs/>
          <w:sz w:val="24"/>
          <w:highlight w:val="none"/>
          <w:lang w:eastAsia="zh-CN"/>
        </w:rPr>
      </w:pPr>
      <w:r>
        <w:rPr>
          <w:rFonts w:hint="eastAsia" w:ascii="仿宋" w:hAnsi="仿宋" w:eastAsia="仿宋" w:cs="仿宋"/>
          <w:sz w:val="24"/>
          <w:highlight w:val="none"/>
          <w:lang w:val="en-US" w:eastAsia="zh-CN"/>
        </w:rPr>
        <w:t>7.我司按公司采购流程进行供应商选择，未入围或未中标的供应商不另行通知，对未入围或未中标的原因不给予说明；</w:t>
      </w:r>
    </w:p>
    <w:p w14:paraId="6BDABA7B">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8</w:t>
      </w:r>
      <w:r>
        <w:rPr>
          <w:rFonts w:hint="eastAsia" w:ascii="仿宋" w:hAnsi="仿宋" w:eastAsia="仿宋" w:cs="仿宋"/>
          <w:bCs/>
          <w:sz w:val="24"/>
          <w:highlight w:val="none"/>
        </w:rPr>
        <w:t>.对于</w:t>
      </w:r>
      <w:r>
        <w:rPr>
          <w:rFonts w:hint="eastAsia" w:ascii="仿宋" w:hAnsi="仿宋" w:eastAsia="仿宋" w:cs="仿宋"/>
          <w:bCs/>
          <w:sz w:val="24"/>
          <w:highlight w:val="none"/>
          <w:lang w:eastAsia="zh-CN"/>
        </w:rPr>
        <w:t>参与竞价单位</w:t>
      </w:r>
      <w:r>
        <w:rPr>
          <w:rFonts w:hint="eastAsia" w:ascii="仿宋" w:hAnsi="仿宋" w:eastAsia="仿宋" w:cs="仿宋"/>
          <w:bCs/>
          <w:sz w:val="24"/>
          <w:highlight w:val="none"/>
        </w:rPr>
        <w:t>提供的资料，本公司予以保密，但概不退还。</w:t>
      </w:r>
    </w:p>
    <w:p w14:paraId="4A9DD1EA">
      <w:pPr>
        <w:widowControl/>
        <w:spacing w:line="360" w:lineRule="auto"/>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参与竞价单位一旦成功中标，须保障招标方和最终用户在使用其货物、服务及其任何部分不受到第三方关于侵犯商业秘密的指控。任何第三方如果提出相关指控，参与竞价单位须与第三方交涉并承担由此而引起的一切法律责任和费用。</w:t>
      </w:r>
    </w:p>
    <w:p w14:paraId="53E45149">
      <w:pPr>
        <w:widowControl/>
        <w:spacing w:line="360" w:lineRule="auto"/>
        <w:ind w:firstLine="480" w:firstLineChars="200"/>
        <w:jc w:val="left"/>
        <w:rPr>
          <w:rFonts w:hint="eastAsia" w:ascii="仿宋" w:hAnsi="仿宋" w:eastAsia="仿宋" w:cs="仿宋"/>
          <w:sz w:val="24"/>
          <w:highlight w:val="none"/>
          <w:lang w:val="en-US" w:eastAsia="zh-CN"/>
        </w:rPr>
      </w:pPr>
      <w:bookmarkStart w:id="0" w:name="_Toc14966496"/>
      <w:bookmarkStart w:id="1" w:name="_Toc181431399"/>
      <w:bookmarkStart w:id="2" w:name="_Toc496797853"/>
      <w:r>
        <w:rPr>
          <w:rFonts w:hint="eastAsia" w:ascii="仿宋" w:hAnsi="仿宋" w:eastAsia="仿宋" w:cs="仿宋"/>
          <w:sz w:val="24"/>
          <w:highlight w:val="none"/>
          <w:lang w:val="en-US" w:eastAsia="zh-CN"/>
        </w:rPr>
        <w:t>10.</w:t>
      </w:r>
      <w:bookmarkEnd w:id="0"/>
      <w:bookmarkEnd w:id="1"/>
      <w:bookmarkEnd w:id="2"/>
      <w:r>
        <w:rPr>
          <w:rFonts w:hint="eastAsia" w:ascii="仿宋" w:hAnsi="仿宋" w:eastAsia="仿宋" w:cs="仿宋"/>
          <w:sz w:val="24"/>
          <w:highlight w:val="none"/>
          <w:lang w:val="en-US" w:eastAsia="zh-CN"/>
        </w:rPr>
        <w:t>参与竞价单位对竞价文件如有疑点，可要求澄清，以书面形式（加盖公章的PDF版和可编辑的Word版）在2024年7月16日上午10：00之前发送邮件至：lizhiyuan-007@cpic.com.cn。我司将视情况确定采用适当方式予以澄清或以书面形式予以答复，并在其认为必要时，将不标明查询来源的书面答复发给每一参与竞价单位。参与竞价单位在收到答复后应尽快以书面形式予以确认。</w:t>
      </w:r>
    </w:p>
    <w:p w14:paraId="34F9C0CB">
      <w:pPr>
        <w:widowControl/>
        <w:spacing w:line="360" w:lineRule="auto"/>
        <w:ind w:firstLine="480" w:firstLineChars="200"/>
        <w:jc w:val="left"/>
        <w:rPr>
          <w:rFonts w:hint="eastAsia" w:ascii="仿宋" w:hAnsi="仿宋" w:eastAsia="仿宋" w:cs="仿宋"/>
          <w:sz w:val="24"/>
          <w:highlight w:val="none"/>
          <w:lang w:val="en-US" w:eastAsia="zh-CN"/>
        </w:rPr>
      </w:pPr>
      <w:bookmarkStart w:id="3" w:name="_Toc14966497"/>
      <w:bookmarkStart w:id="4" w:name="_Toc181431400"/>
      <w:bookmarkStart w:id="5" w:name="_Toc496797854"/>
      <w:r>
        <w:rPr>
          <w:rFonts w:hint="eastAsia" w:ascii="仿宋" w:hAnsi="仿宋" w:eastAsia="仿宋" w:cs="仿宋"/>
          <w:sz w:val="24"/>
          <w:highlight w:val="none"/>
          <w:lang w:val="en-US" w:eastAsia="zh-CN"/>
        </w:rPr>
        <w:t>11.文件的修改</w:t>
      </w:r>
      <w:bookmarkEnd w:id="3"/>
      <w:bookmarkEnd w:id="4"/>
      <w:bookmarkEnd w:id="5"/>
    </w:p>
    <w:p w14:paraId="43C15439">
      <w:pPr>
        <w:widowControl/>
        <w:spacing w:line="360" w:lineRule="auto"/>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11.1在投标截止时间前的任何时候，无论出于何种原因，我司可主动地或依据参与竞价单位要求澄清的问题而修改竞价文件，并以书面形式通知所有参与竞价单位，参与竞价单位在收到该通知后应立即以邮件或传真等书面形式予以确认。</w:t>
      </w:r>
    </w:p>
    <w:p w14:paraId="5E661FB3">
      <w:pPr>
        <w:widowControl/>
        <w:spacing w:line="360" w:lineRule="auto"/>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11.2为使参与竞价单位在准备投标文件时有合理的时间考虑招标文件的修改，如有必要，我司可酌情推迟投标截止时间，并以书面形式通知已参加竞价单位。</w:t>
      </w:r>
    </w:p>
    <w:p w14:paraId="3E4578EE">
      <w:pPr>
        <w:widowControl/>
        <w:spacing w:line="360" w:lineRule="auto"/>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11.3上述修改竞价文件将构成公开竞技文件的一部分，对参与竞价单位有约束力。</w:t>
      </w:r>
    </w:p>
    <w:p w14:paraId="345D01B6">
      <w:pPr>
        <w:widowControl/>
        <w:spacing w:line="360" w:lineRule="auto"/>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11.4当后发的修改文件与原竞价文件或此前发出的修改文件之间存在不一致时，应以后发的修改文件为准。</w:t>
      </w:r>
    </w:p>
    <w:p w14:paraId="631D8662">
      <w:pPr>
        <w:widowControl/>
        <w:spacing w:line="360" w:lineRule="auto"/>
        <w:ind w:firstLine="482" w:firstLineChars="200"/>
        <w:jc w:val="left"/>
        <w:rPr>
          <w:rFonts w:hint="default" w:ascii="仿宋" w:hAnsi="仿宋" w:eastAsia="仿宋" w:cs="仿宋"/>
          <w:b/>
          <w:bCs/>
          <w:sz w:val="24"/>
          <w:lang w:val="en-US" w:eastAsia="zh-CN"/>
        </w:rPr>
      </w:pPr>
      <w:r>
        <w:rPr>
          <w:rFonts w:hint="eastAsia" w:ascii="仿宋" w:hAnsi="仿宋" w:eastAsia="仿宋" w:cs="仿宋"/>
          <w:b/>
          <w:bCs/>
          <w:sz w:val="24"/>
          <w:lang w:val="en-US" w:eastAsia="zh-CN"/>
        </w:rPr>
        <w:t>12.评审</w:t>
      </w:r>
    </w:p>
    <w:p w14:paraId="2E66AAAD">
      <w:pPr>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12.1我司将根据采购货物和服务的特点组建评审小组，其成员由技术、经济等方面的专家的代表组成。评审小组对投标文件进行审查、评估和比较。</w:t>
      </w:r>
    </w:p>
    <w:p w14:paraId="08293D99">
      <w:pPr>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12.2评审期间，如有需要，评审小组可安排参与竞价单位派代表参加询标。</w:t>
      </w:r>
    </w:p>
    <w:p w14:paraId="61F0F0FD">
      <w:pPr>
        <w:spacing w:line="360" w:lineRule="auto"/>
        <w:ind w:firstLine="480" w:firstLineChars="200"/>
        <w:rPr>
          <w:rFonts w:hint="eastAsia" w:ascii="仿宋" w:hAnsi="仿宋" w:eastAsia="仿宋" w:cs="仿宋"/>
          <w:bCs/>
          <w:sz w:val="24"/>
        </w:rPr>
      </w:pPr>
      <w:r>
        <w:rPr>
          <w:rFonts w:hint="eastAsia" w:ascii="仿宋" w:hAnsi="仿宋" w:eastAsia="仿宋" w:cs="仿宋"/>
          <w:b w:val="0"/>
          <w:bCs w:val="0"/>
          <w:kern w:val="2"/>
          <w:sz w:val="24"/>
          <w:szCs w:val="24"/>
          <w:lang w:val="en-US" w:eastAsia="zh-CN" w:bidi="ar-SA"/>
        </w:rPr>
        <w:t>12.3整个评审工作将由评审小组负责。</w:t>
      </w:r>
    </w:p>
    <w:p w14:paraId="71E03B0E">
      <w:pPr>
        <w:numPr>
          <w:ilvl w:val="-1"/>
          <w:numId w:val="0"/>
        </w:numPr>
        <w:spacing w:line="360" w:lineRule="auto"/>
        <w:ind w:left="0" w:firstLine="0" w:firstLineChars="0"/>
        <w:outlineLvl w:val="0"/>
        <w:rPr>
          <w:rFonts w:hint="eastAsia" w:ascii="黑体" w:hAnsi="黑体" w:eastAsia="黑体" w:cs="黑体"/>
          <w:b/>
          <w:sz w:val="24"/>
        </w:rPr>
      </w:pPr>
      <w:r>
        <w:rPr>
          <w:rFonts w:hint="eastAsia" w:ascii="黑体" w:hAnsi="黑体" w:eastAsia="黑体" w:cs="黑体"/>
          <w:b/>
          <w:sz w:val="24"/>
          <w:lang w:val="en-US" w:eastAsia="zh-CN"/>
        </w:rPr>
        <w:t>十二、</w:t>
      </w:r>
      <w:r>
        <w:rPr>
          <w:rFonts w:hint="eastAsia" w:ascii="黑体" w:hAnsi="黑体" w:eastAsia="黑体" w:cs="黑体"/>
          <w:b/>
          <w:sz w:val="24"/>
        </w:rPr>
        <w:t>递交竞价文件期限及地点：</w:t>
      </w:r>
    </w:p>
    <w:p w14:paraId="403DE07D">
      <w:pPr>
        <w:spacing w:line="360" w:lineRule="auto"/>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1.</w:t>
      </w:r>
      <w:r>
        <w:rPr>
          <w:rFonts w:hint="eastAsia" w:ascii="仿宋" w:hAnsi="仿宋" w:eastAsia="仿宋" w:cs="仿宋"/>
          <w:bCs/>
          <w:sz w:val="24"/>
        </w:rPr>
        <w:t>时间：</w:t>
      </w:r>
      <w:r>
        <w:rPr>
          <w:rFonts w:hint="eastAsia" w:ascii="仿宋" w:hAnsi="仿宋" w:eastAsia="仿宋" w:cs="仿宋"/>
          <w:bCs/>
          <w:sz w:val="24"/>
          <w:lang w:val="en-US" w:eastAsia="zh-CN"/>
        </w:rPr>
        <w:t>2024年7月1</w:t>
      </w:r>
      <w:r>
        <w:rPr>
          <w:rFonts w:hint="default" w:ascii="仿宋" w:hAnsi="仿宋" w:eastAsia="仿宋" w:cs="仿宋"/>
          <w:bCs/>
          <w:sz w:val="24"/>
          <w:lang w:val="en-US" w:eastAsia="zh-CN"/>
        </w:rPr>
        <w:t>1</w:t>
      </w:r>
      <w:r>
        <w:rPr>
          <w:rFonts w:hint="eastAsia" w:ascii="仿宋" w:hAnsi="仿宋" w:eastAsia="仿宋" w:cs="仿宋"/>
          <w:bCs/>
          <w:sz w:val="24"/>
          <w:lang w:val="en-US" w:eastAsia="zh-CN"/>
        </w:rPr>
        <w:t>日9:00起至7月22</w:t>
      </w:r>
      <w:bookmarkStart w:id="6" w:name="_GoBack"/>
      <w:bookmarkEnd w:id="6"/>
      <w:r>
        <w:rPr>
          <w:rFonts w:hint="eastAsia" w:ascii="仿宋" w:hAnsi="仿宋" w:eastAsia="仿宋" w:cs="仿宋"/>
          <w:bCs/>
          <w:sz w:val="24"/>
          <w:lang w:val="en-US" w:eastAsia="zh-CN"/>
        </w:rPr>
        <w:t>日17:00止</w:t>
      </w:r>
    </w:p>
    <w:p w14:paraId="1122E9BC">
      <w:pPr>
        <w:spacing w:line="360" w:lineRule="auto"/>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2.地址：</w:t>
      </w:r>
      <w:r>
        <w:rPr>
          <w:rFonts w:hint="eastAsia" w:ascii="仿宋" w:hAnsi="仿宋" w:eastAsia="仿宋" w:cs="仿宋"/>
          <w:bCs/>
          <w:sz w:val="24"/>
        </w:rPr>
        <w:t>上海市静安区共和新路3651号农保大厦</w:t>
      </w:r>
    </w:p>
    <w:p w14:paraId="29401B3A">
      <w:pPr>
        <w:spacing w:line="360" w:lineRule="auto"/>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3.联系人：黎志远</w:t>
      </w:r>
    </w:p>
    <w:p w14:paraId="397D17D6">
      <w:pPr>
        <w:spacing w:line="360" w:lineRule="auto"/>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4.联系电话：021-66985597</w:t>
      </w:r>
    </w:p>
    <w:p w14:paraId="69EE3EFA">
      <w:pPr>
        <w:spacing w:line="360" w:lineRule="auto"/>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5.报价接收邮箱：</w:t>
      </w:r>
      <w:r>
        <w:rPr>
          <w:rFonts w:hint="eastAsia" w:ascii="仿宋" w:hAnsi="仿宋" w:eastAsia="仿宋" w:cs="仿宋"/>
          <w:b/>
          <w:bCs w:val="0"/>
          <w:color w:val="auto"/>
          <w:sz w:val="24"/>
          <w:lang w:val="en-US" w:eastAsia="zh-CN"/>
        </w:rPr>
        <w:t>lizhiyuan-007@cpic.com.cn</w:t>
      </w:r>
    </w:p>
    <w:p w14:paraId="0D446331">
      <w:pPr>
        <w:spacing w:line="360" w:lineRule="auto"/>
        <w:ind w:firstLine="480" w:firstLineChars="200"/>
        <w:rPr>
          <w:rFonts w:hint="eastAsia" w:ascii="仿宋" w:hAnsi="仿宋" w:eastAsia="仿宋" w:cs="仿宋"/>
          <w:bCs/>
          <w:sz w:val="24"/>
          <w:lang w:val="en-US" w:eastAsia="zh-CN"/>
        </w:rPr>
      </w:pPr>
    </w:p>
    <w:p w14:paraId="1997FBF4">
      <w:pPr>
        <w:spacing w:line="360" w:lineRule="auto"/>
        <w:ind w:firstLine="480" w:firstLineChars="200"/>
        <w:rPr>
          <w:rFonts w:hint="default" w:ascii="仿宋" w:hAnsi="仿宋" w:eastAsia="仿宋" w:cs="仿宋"/>
          <w:bCs/>
          <w:sz w:val="24"/>
          <w:lang w:val="en-US" w:eastAsia="zh-CN"/>
        </w:rPr>
      </w:pPr>
      <w:r>
        <w:rPr>
          <w:rFonts w:hint="eastAsia" w:ascii="仿宋" w:hAnsi="仿宋" w:eastAsia="仿宋" w:cs="Times New Roman"/>
          <w:sz w:val="24"/>
          <w:szCs w:val="28"/>
          <w:lang w:val="en-US" w:eastAsia="zh-CN"/>
        </w:rPr>
        <w:t>（太安农险偿付能力符合监管规定,具体可在太安农险官网查询</w:t>
      </w:r>
      <w:r>
        <w:rPr>
          <w:rFonts w:hint="eastAsia" w:ascii="仿宋" w:hAnsi="仿宋" w:eastAsia="仿宋" w:cs="Times New Roman"/>
          <w:sz w:val="24"/>
          <w:szCs w:val="28"/>
          <w:lang w:val="en-US" w:eastAsia="zh-CN"/>
        </w:rPr>
        <w:fldChar w:fldCharType="begin"/>
      </w:r>
      <w:r>
        <w:rPr>
          <w:rFonts w:hint="eastAsia" w:ascii="仿宋" w:hAnsi="仿宋" w:eastAsia="仿宋" w:cs="Times New Roman"/>
          <w:sz w:val="24"/>
          <w:szCs w:val="28"/>
          <w:lang w:val="en-US" w:eastAsia="zh-CN"/>
        </w:rPr>
        <w:instrText xml:space="preserve"> HYPERLINK "http://www.aaic.com.cn/" </w:instrText>
      </w:r>
      <w:r>
        <w:rPr>
          <w:rFonts w:hint="eastAsia" w:ascii="仿宋" w:hAnsi="仿宋" w:eastAsia="仿宋" w:cs="Times New Roman"/>
          <w:sz w:val="24"/>
          <w:szCs w:val="28"/>
          <w:lang w:val="en-US" w:eastAsia="zh-CN"/>
        </w:rPr>
        <w:fldChar w:fldCharType="separate"/>
      </w:r>
      <w:r>
        <w:rPr>
          <w:rFonts w:hint="eastAsia" w:ascii="仿宋" w:hAnsi="仿宋" w:eastAsia="仿宋" w:cs="Times New Roman"/>
          <w:sz w:val="24"/>
          <w:szCs w:val="28"/>
          <w:lang w:val="en-US" w:eastAsia="zh-CN"/>
        </w:rPr>
        <w:t>www.aaic.com.cn</w:t>
      </w:r>
      <w:r>
        <w:rPr>
          <w:rFonts w:hint="eastAsia" w:ascii="仿宋" w:hAnsi="仿宋" w:eastAsia="仿宋" w:cs="Times New Roman"/>
          <w:sz w:val="24"/>
          <w:szCs w:val="28"/>
          <w:lang w:val="en-US" w:eastAsia="zh-CN"/>
        </w:rPr>
        <w:fldChar w:fldCharType="end"/>
      </w:r>
      <w:r>
        <w:rPr>
          <w:rFonts w:hint="eastAsia" w:ascii="仿宋" w:hAnsi="仿宋" w:eastAsia="仿宋" w:cs="Times New Roman"/>
          <w:sz w:val="24"/>
          <w:szCs w:val="28"/>
          <w:lang w:val="en-US" w:eastAsia="zh-CN"/>
        </w:rPr>
        <w:t>）</w:t>
      </w:r>
    </w:p>
    <w:p w14:paraId="527162EE">
      <w:pPr>
        <w:spacing w:line="360" w:lineRule="auto"/>
        <w:ind w:firstLine="480" w:firstLineChars="200"/>
        <w:rPr>
          <w:rFonts w:hint="default" w:ascii="仿宋" w:hAnsi="仿宋" w:eastAsia="仿宋" w:cs="仿宋"/>
          <w:bCs/>
          <w:sz w:val="24"/>
          <w:lang w:val="en-US" w:eastAsia="zh-CN"/>
        </w:rPr>
      </w:pPr>
      <w:r>
        <w:rPr>
          <w:rFonts w:hint="eastAsia" w:ascii="仿宋" w:hAnsi="仿宋" w:eastAsia="仿宋" w:cs="仿宋"/>
          <w:bCs/>
          <w:sz w:val="24"/>
        </w:rPr>
        <w:t>此公告的最终解释权归</w:t>
      </w:r>
      <w:r>
        <w:rPr>
          <w:rFonts w:hint="eastAsia" w:ascii="仿宋" w:hAnsi="仿宋" w:eastAsia="仿宋" w:cs="仿宋"/>
          <w:bCs/>
          <w:sz w:val="24"/>
          <w:lang w:val="en-US" w:eastAsia="zh-CN"/>
        </w:rPr>
        <w:t>太平洋安信农业保险股份有限公司</w:t>
      </w:r>
      <w:r>
        <w:rPr>
          <w:rFonts w:hint="eastAsia" w:ascii="仿宋" w:hAnsi="仿宋" w:eastAsia="仿宋" w:cs="仿宋"/>
          <w:bCs/>
          <w:sz w:val="24"/>
        </w:rPr>
        <w:t>所有。</w:t>
      </w:r>
    </w:p>
    <w:p w14:paraId="5CCC9FAD">
      <w:pPr>
        <w:spacing w:line="360" w:lineRule="auto"/>
        <w:rPr>
          <w:rFonts w:ascii="黑体" w:hAnsi="黑体" w:eastAsia="黑体" w:cs="黑体"/>
          <w:b/>
          <w:sz w:val="24"/>
        </w:rPr>
      </w:pPr>
      <w:r>
        <w:rPr>
          <w:rFonts w:hint="eastAsia" w:ascii="华文细黑" w:hAnsi="华文细黑" w:eastAsia="华文细黑"/>
          <w:b/>
          <w:bCs/>
          <w:sz w:val="24"/>
        </w:rPr>
        <w:br w:type="page"/>
      </w:r>
      <w:r>
        <w:rPr>
          <w:rFonts w:hint="eastAsia" w:ascii="黑体" w:hAnsi="黑体" w:eastAsia="黑体" w:cs="黑体"/>
          <w:b/>
          <w:sz w:val="24"/>
        </w:rPr>
        <w:t>附表1</w:t>
      </w:r>
    </w:p>
    <w:p w14:paraId="1DABCEEC">
      <w:pPr>
        <w:spacing w:line="360" w:lineRule="auto"/>
        <w:ind w:firstLine="57"/>
        <w:jc w:val="center"/>
        <w:rPr>
          <w:rFonts w:hint="eastAsia" w:ascii="华文细黑" w:hAnsi="华文细黑" w:eastAsia="华文细黑"/>
          <w:b/>
          <w:bCs/>
          <w:sz w:val="28"/>
          <w:szCs w:val="28"/>
          <w:lang w:eastAsia="zh-CN"/>
        </w:rPr>
      </w:pPr>
      <w:r>
        <w:rPr>
          <w:rFonts w:hint="eastAsia" w:ascii="华文细黑" w:hAnsi="华文细黑" w:eastAsia="华文细黑"/>
          <w:b/>
          <w:bCs/>
          <w:sz w:val="28"/>
          <w:szCs w:val="28"/>
          <w:lang w:val="en-US" w:eastAsia="zh-CN"/>
        </w:rPr>
        <w:t>反洗钱系统新建项目</w:t>
      </w:r>
      <w:r>
        <w:rPr>
          <w:rFonts w:hint="eastAsia" w:ascii="华文细黑" w:hAnsi="华文细黑" w:eastAsia="华文细黑"/>
          <w:b/>
          <w:bCs/>
          <w:sz w:val="28"/>
          <w:szCs w:val="28"/>
        </w:rPr>
        <w:t>报价单</w:t>
      </w:r>
      <w:r>
        <w:rPr>
          <w:rFonts w:hint="eastAsia" w:ascii="华文细黑" w:hAnsi="华文细黑" w:eastAsia="华文细黑"/>
          <w:b/>
          <w:bCs/>
          <w:sz w:val="28"/>
          <w:szCs w:val="28"/>
          <w:lang w:eastAsia="zh-CN"/>
        </w:rPr>
        <w:t>（</w:t>
      </w:r>
      <w:r>
        <w:rPr>
          <w:rFonts w:hint="eastAsia" w:ascii="华文细黑" w:hAnsi="华文细黑" w:eastAsia="华文细黑"/>
          <w:b/>
          <w:bCs/>
          <w:sz w:val="28"/>
          <w:szCs w:val="28"/>
          <w:lang w:val="en-US" w:eastAsia="zh-CN"/>
        </w:rPr>
        <w:t>含必要内容</w:t>
      </w:r>
      <w:r>
        <w:rPr>
          <w:rFonts w:hint="eastAsia" w:ascii="华文细黑" w:hAnsi="华文细黑" w:eastAsia="华文细黑"/>
          <w:b/>
          <w:bCs/>
          <w:sz w:val="28"/>
          <w:szCs w:val="28"/>
          <w:lang w:eastAsia="zh-CN"/>
        </w:rPr>
        <w:t>）</w:t>
      </w:r>
    </w:p>
    <w:p w14:paraId="0EEE1A05">
      <w:pPr>
        <w:spacing w:line="360" w:lineRule="auto"/>
        <w:rPr>
          <w:rFonts w:ascii="华文细黑" w:hAnsi="华文细黑" w:eastAsia="华文细黑"/>
          <w:szCs w:val="21"/>
          <w:u w:val="single"/>
        </w:rPr>
      </w:pPr>
      <w:r>
        <w:rPr>
          <w:rFonts w:ascii="华文细黑" w:hAnsi="华文细黑" w:eastAsia="华文细黑"/>
          <w:b/>
          <w:szCs w:val="21"/>
        </w:rPr>
        <w:t>报价人</w:t>
      </w:r>
      <w:r>
        <w:rPr>
          <w:rFonts w:ascii="华文细黑" w:hAnsi="华文细黑" w:eastAsia="华文细黑"/>
          <w:szCs w:val="21"/>
        </w:rPr>
        <w:t>:</w:t>
      </w:r>
      <w:r>
        <w:rPr>
          <w:rFonts w:ascii="华文细黑" w:hAnsi="华文细黑" w:eastAsia="华文细黑"/>
          <w:szCs w:val="21"/>
          <w:u w:val="single"/>
        </w:rPr>
        <w:t xml:space="preserve">                       </w:t>
      </w:r>
      <w:r>
        <w:rPr>
          <w:rFonts w:ascii="华文细黑" w:hAnsi="华文细黑" w:eastAsia="华文细黑"/>
          <w:szCs w:val="21"/>
        </w:rPr>
        <w:t>公司</w:t>
      </w:r>
    </w:p>
    <w:p w14:paraId="3E635729">
      <w:pPr>
        <w:spacing w:line="360" w:lineRule="auto"/>
        <w:rPr>
          <w:rFonts w:ascii="华文细黑" w:hAnsi="华文细黑" w:eastAsia="华文细黑"/>
          <w:szCs w:val="21"/>
          <w:u w:val="single"/>
        </w:rPr>
      </w:pPr>
      <w:r>
        <w:rPr>
          <w:rFonts w:ascii="华文细黑" w:hAnsi="华文细黑" w:eastAsia="华文细黑"/>
          <w:b/>
          <w:szCs w:val="21"/>
        </w:rPr>
        <w:t xml:space="preserve">联系人: </w:t>
      </w:r>
      <w:r>
        <w:rPr>
          <w:rFonts w:ascii="华文细黑" w:hAnsi="华文细黑" w:eastAsia="华文细黑"/>
          <w:b/>
          <w:szCs w:val="21"/>
          <w:u w:val="single"/>
        </w:rPr>
        <w:t xml:space="preserve">                      </w:t>
      </w:r>
    </w:p>
    <w:p w14:paraId="2AE26DBF">
      <w:pPr>
        <w:spacing w:line="360" w:lineRule="auto"/>
        <w:rPr>
          <w:rFonts w:ascii="华文细黑" w:hAnsi="华文细黑" w:eastAsia="华文细黑"/>
          <w:szCs w:val="21"/>
          <w:u w:val="single"/>
        </w:rPr>
      </w:pPr>
      <w:r>
        <w:rPr>
          <w:rFonts w:ascii="华文细黑" w:hAnsi="华文细黑" w:eastAsia="华文细黑"/>
          <w:b/>
          <w:szCs w:val="21"/>
        </w:rPr>
        <w:t>联系电话</w:t>
      </w:r>
      <w:r>
        <w:rPr>
          <w:rFonts w:ascii="华文细黑" w:hAnsi="华文细黑" w:eastAsia="华文细黑"/>
          <w:szCs w:val="21"/>
        </w:rPr>
        <w:t>:</w:t>
      </w:r>
      <w:r>
        <w:rPr>
          <w:rFonts w:ascii="华文细黑" w:hAnsi="华文细黑" w:eastAsia="华文细黑"/>
          <w:szCs w:val="21"/>
          <w:u w:val="single"/>
        </w:rPr>
        <w:t xml:space="preserve">                       </w:t>
      </w:r>
    </w:p>
    <w:p w14:paraId="79226536">
      <w:pPr>
        <w:spacing w:line="360" w:lineRule="auto"/>
        <w:rPr>
          <w:rFonts w:ascii="华文细黑" w:hAnsi="华文细黑" w:eastAsia="华文细黑"/>
          <w:b/>
          <w:bCs/>
          <w:sz w:val="28"/>
          <w:szCs w:val="28"/>
        </w:rPr>
      </w:pPr>
      <w:r>
        <w:rPr>
          <w:rFonts w:ascii="华文细黑" w:hAnsi="华文细黑" w:eastAsia="华文细黑"/>
          <w:szCs w:val="21"/>
        </w:rPr>
        <w:t>回应</w:t>
      </w:r>
      <w:r>
        <w:rPr>
          <w:rFonts w:hint="eastAsia" w:ascii="华文细黑" w:hAnsi="华文细黑" w:eastAsia="华文细黑"/>
          <w:szCs w:val="21"/>
          <w:lang w:eastAsia="zh-CN"/>
        </w:rPr>
        <w:t>参与竞价单位</w:t>
      </w:r>
      <w:r>
        <w:rPr>
          <w:rFonts w:ascii="华文细黑" w:hAnsi="华文细黑" w:eastAsia="华文细黑"/>
          <w:szCs w:val="21"/>
        </w:rPr>
        <w:t>的</w:t>
      </w:r>
      <w:r>
        <w:rPr>
          <w:rFonts w:hint="eastAsia" w:ascii="华文细黑" w:hAnsi="华文细黑" w:eastAsia="华文细黑"/>
          <w:szCs w:val="21"/>
          <w:lang w:val="en-US" w:eastAsia="zh-CN"/>
        </w:rPr>
        <w:t>竞价公告</w:t>
      </w:r>
      <w:r>
        <w:rPr>
          <w:rFonts w:ascii="华文细黑" w:hAnsi="华文细黑" w:eastAsia="华文细黑"/>
          <w:szCs w:val="21"/>
        </w:rPr>
        <w:t>，我公司报价如下：</w:t>
      </w:r>
    </w:p>
    <w:tbl>
      <w:tblPr>
        <w:tblStyle w:val="8"/>
        <w:tblW w:w="8852" w:type="dxa"/>
        <w:tblInd w:w="-118" w:type="dxa"/>
        <w:tblLayout w:type="fixed"/>
        <w:tblCellMar>
          <w:top w:w="0" w:type="dxa"/>
          <w:left w:w="108" w:type="dxa"/>
          <w:bottom w:w="0" w:type="dxa"/>
          <w:right w:w="108" w:type="dxa"/>
        </w:tblCellMar>
      </w:tblPr>
      <w:tblGrid>
        <w:gridCol w:w="2691"/>
        <w:gridCol w:w="1612"/>
        <w:gridCol w:w="772"/>
        <w:gridCol w:w="1657"/>
        <w:gridCol w:w="860"/>
        <w:gridCol w:w="1260"/>
      </w:tblGrid>
      <w:tr w14:paraId="67503447">
        <w:tblPrEx>
          <w:tblCellMar>
            <w:top w:w="0" w:type="dxa"/>
            <w:left w:w="108" w:type="dxa"/>
            <w:bottom w:w="0" w:type="dxa"/>
            <w:right w:w="108" w:type="dxa"/>
          </w:tblCellMar>
        </w:tblPrEx>
        <w:trPr>
          <w:trHeight w:val="405" w:hRule="atLeast"/>
        </w:trPr>
        <w:tc>
          <w:tcPr>
            <w:tcW w:w="2691" w:type="dxa"/>
            <w:tcBorders>
              <w:top w:val="single" w:color="auto" w:sz="8" w:space="0"/>
              <w:left w:val="single" w:color="auto" w:sz="8" w:space="0"/>
              <w:bottom w:val="single" w:color="auto" w:sz="8" w:space="0"/>
              <w:right w:val="single" w:color="auto" w:sz="8" w:space="0"/>
            </w:tcBorders>
            <w:vAlign w:val="bottom"/>
          </w:tcPr>
          <w:p w14:paraId="7B623EFE">
            <w:pPr>
              <w:widowControl/>
              <w:jc w:val="center"/>
              <w:rPr>
                <w:rFonts w:ascii="华文细黑" w:hAnsi="华文细黑" w:eastAsia="华文细黑" w:cs="宋体"/>
                <w:b/>
                <w:bCs/>
                <w:kern w:val="0"/>
                <w:sz w:val="24"/>
              </w:rPr>
            </w:pPr>
            <w:r>
              <w:rPr>
                <w:rFonts w:hint="eastAsia" w:ascii="华文细黑" w:hAnsi="华文细黑" w:eastAsia="华文细黑" w:cs="宋体"/>
                <w:b/>
                <w:bCs/>
                <w:kern w:val="0"/>
                <w:sz w:val="24"/>
              </w:rPr>
              <w:t>服务名称</w:t>
            </w:r>
          </w:p>
        </w:tc>
        <w:tc>
          <w:tcPr>
            <w:tcW w:w="1612" w:type="dxa"/>
            <w:tcBorders>
              <w:top w:val="single" w:color="auto" w:sz="8" w:space="0"/>
              <w:left w:val="nil"/>
              <w:bottom w:val="single" w:color="auto" w:sz="8" w:space="0"/>
              <w:right w:val="single" w:color="auto" w:sz="8" w:space="0"/>
            </w:tcBorders>
            <w:vAlign w:val="bottom"/>
          </w:tcPr>
          <w:p w14:paraId="0E04B50C">
            <w:pPr>
              <w:widowControl/>
              <w:jc w:val="center"/>
              <w:rPr>
                <w:rFonts w:ascii="华文细黑" w:hAnsi="华文细黑" w:eastAsia="华文细黑" w:cs="宋体"/>
                <w:b/>
                <w:bCs/>
                <w:kern w:val="0"/>
                <w:sz w:val="24"/>
              </w:rPr>
            </w:pPr>
            <w:r>
              <w:rPr>
                <w:rFonts w:hint="eastAsia" w:ascii="华文细黑" w:hAnsi="华文细黑" w:eastAsia="华文细黑" w:cs="宋体"/>
                <w:b/>
                <w:bCs/>
                <w:kern w:val="0"/>
                <w:sz w:val="24"/>
                <w:lang w:val="en-US" w:eastAsia="zh-CN"/>
              </w:rPr>
              <w:t>功能</w:t>
            </w:r>
          </w:p>
        </w:tc>
        <w:tc>
          <w:tcPr>
            <w:tcW w:w="772" w:type="dxa"/>
            <w:tcBorders>
              <w:top w:val="single" w:color="auto" w:sz="8" w:space="0"/>
              <w:left w:val="nil"/>
              <w:bottom w:val="single" w:color="auto" w:sz="8" w:space="0"/>
              <w:right w:val="single" w:color="auto" w:sz="8" w:space="0"/>
            </w:tcBorders>
            <w:vAlign w:val="bottom"/>
          </w:tcPr>
          <w:p w14:paraId="417ED781">
            <w:pPr>
              <w:widowControl/>
              <w:jc w:val="center"/>
              <w:rPr>
                <w:rFonts w:ascii="华文细黑" w:hAnsi="华文细黑" w:eastAsia="华文细黑" w:cs="宋体"/>
                <w:b/>
                <w:bCs/>
                <w:kern w:val="0"/>
                <w:sz w:val="24"/>
              </w:rPr>
            </w:pPr>
            <w:r>
              <w:rPr>
                <w:rFonts w:hint="eastAsia" w:ascii="华文细黑" w:hAnsi="华文细黑" w:eastAsia="华文细黑" w:cs="宋体"/>
                <w:b/>
                <w:bCs/>
                <w:kern w:val="0"/>
                <w:sz w:val="24"/>
                <w:lang w:val="en-US" w:eastAsia="zh-CN"/>
              </w:rPr>
              <w:t>单价</w:t>
            </w:r>
          </w:p>
        </w:tc>
        <w:tc>
          <w:tcPr>
            <w:tcW w:w="1657" w:type="dxa"/>
            <w:tcBorders>
              <w:top w:val="single" w:color="auto" w:sz="8" w:space="0"/>
              <w:left w:val="nil"/>
              <w:bottom w:val="single" w:color="auto" w:sz="8" w:space="0"/>
              <w:right w:val="single" w:color="auto" w:sz="8" w:space="0"/>
            </w:tcBorders>
            <w:vAlign w:val="bottom"/>
          </w:tcPr>
          <w:p w14:paraId="1D7A56FE">
            <w:pPr>
              <w:widowControl/>
              <w:jc w:val="center"/>
              <w:rPr>
                <w:rFonts w:ascii="华文细黑" w:hAnsi="华文细黑" w:eastAsia="华文细黑" w:cs="宋体"/>
                <w:b/>
                <w:bCs/>
                <w:kern w:val="0"/>
                <w:sz w:val="24"/>
              </w:rPr>
            </w:pPr>
            <w:r>
              <w:rPr>
                <w:rFonts w:hint="eastAsia" w:ascii="华文细黑" w:hAnsi="华文细黑" w:eastAsia="华文细黑" w:cs="宋体"/>
                <w:b/>
                <w:bCs/>
                <w:kern w:val="0"/>
                <w:sz w:val="24"/>
              </w:rPr>
              <w:t>数量</w:t>
            </w:r>
            <w:r>
              <w:rPr>
                <w:rFonts w:hint="eastAsia" w:ascii="华文细黑" w:hAnsi="华文细黑" w:eastAsia="华文细黑" w:cs="宋体"/>
                <w:b/>
                <w:bCs/>
                <w:kern w:val="0"/>
                <w:sz w:val="24"/>
                <w:lang w:eastAsia="zh-CN"/>
              </w:rPr>
              <w:t>（</w:t>
            </w:r>
            <w:r>
              <w:rPr>
                <w:rFonts w:hint="eastAsia" w:ascii="华文细黑" w:hAnsi="华文细黑" w:eastAsia="华文细黑" w:cs="宋体"/>
                <w:b/>
                <w:bCs/>
                <w:kern w:val="0"/>
                <w:sz w:val="24"/>
                <w:lang w:val="en-US" w:eastAsia="zh-CN"/>
              </w:rPr>
              <w:t>人/月</w:t>
            </w:r>
            <w:r>
              <w:rPr>
                <w:rFonts w:hint="eastAsia" w:ascii="华文细黑" w:hAnsi="华文细黑" w:eastAsia="华文细黑" w:cs="宋体"/>
                <w:b/>
                <w:bCs/>
                <w:kern w:val="0"/>
                <w:sz w:val="24"/>
                <w:lang w:eastAsia="zh-CN"/>
              </w:rPr>
              <w:t>）</w:t>
            </w:r>
          </w:p>
        </w:tc>
        <w:tc>
          <w:tcPr>
            <w:tcW w:w="860" w:type="dxa"/>
            <w:tcBorders>
              <w:top w:val="single" w:color="auto" w:sz="8" w:space="0"/>
              <w:left w:val="nil"/>
              <w:bottom w:val="single" w:color="auto" w:sz="8" w:space="0"/>
              <w:right w:val="single" w:color="auto" w:sz="8" w:space="0"/>
            </w:tcBorders>
            <w:vAlign w:val="bottom"/>
          </w:tcPr>
          <w:p w14:paraId="417A6E2C">
            <w:pPr>
              <w:widowControl/>
              <w:jc w:val="center"/>
              <w:rPr>
                <w:rFonts w:ascii="华文细黑" w:hAnsi="华文细黑" w:eastAsia="华文细黑" w:cs="宋体"/>
                <w:b/>
                <w:bCs/>
                <w:kern w:val="0"/>
                <w:sz w:val="24"/>
              </w:rPr>
            </w:pPr>
            <w:r>
              <w:rPr>
                <w:rFonts w:hint="eastAsia" w:ascii="华文细黑" w:hAnsi="华文细黑" w:eastAsia="华文细黑" w:cs="宋体"/>
                <w:b/>
                <w:bCs/>
                <w:kern w:val="0"/>
                <w:sz w:val="24"/>
              </w:rPr>
              <w:t>价格</w:t>
            </w:r>
          </w:p>
        </w:tc>
        <w:tc>
          <w:tcPr>
            <w:tcW w:w="1260" w:type="dxa"/>
            <w:tcBorders>
              <w:top w:val="single" w:color="auto" w:sz="8" w:space="0"/>
              <w:left w:val="nil"/>
              <w:bottom w:val="single" w:color="auto" w:sz="8" w:space="0"/>
              <w:right w:val="single" w:color="auto" w:sz="8" w:space="0"/>
            </w:tcBorders>
            <w:vAlign w:val="bottom"/>
          </w:tcPr>
          <w:p w14:paraId="170043AD">
            <w:pPr>
              <w:widowControl/>
              <w:jc w:val="center"/>
              <w:rPr>
                <w:rFonts w:ascii="华文细黑" w:hAnsi="华文细黑" w:eastAsia="华文细黑" w:cs="宋体"/>
                <w:b/>
                <w:bCs/>
                <w:kern w:val="0"/>
                <w:sz w:val="24"/>
              </w:rPr>
            </w:pPr>
            <w:r>
              <w:rPr>
                <w:rFonts w:hint="eastAsia" w:ascii="华文细黑" w:hAnsi="华文细黑" w:eastAsia="华文细黑" w:cs="宋体"/>
                <w:b/>
                <w:bCs/>
                <w:kern w:val="0"/>
                <w:sz w:val="24"/>
              </w:rPr>
              <w:t>补充说明</w:t>
            </w:r>
          </w:p>
        </w:tc>
      </w:tr>
      <w:tr w14:paraId="41C6459A">
        <w:tblPrEx>
          <w:tblCellMar>
            <w:top w:w="0" w:type="dxa"/>
            <w:left w:w="108" w:type="dxa"/>
            <w:bottom w:w="0" w:type="dxa"/>
            <w:right w:w="108" w:type="dxa"/>
          </w:tblCellMar>
        </w:tblPrEx>
        <w:trPr>
          <w:trHeight w:val="285" w:hRule="atLeast"/>
        </w:trPr>
        <w:tc>
          <w:tcPr>
            <w:tcW w:w="2691" w:type="dxa"/>
            <w:vMerge w:val="restart"/>
            <w:tcBorders>
              <w:top w:val="nil"/>
              <w:left w:val="single" w:color="auto" w:sz="8" w:space="0"/>
              <w:bottom w:val="single" w:color="000000" w:sz="8" w:space="0"/>
              <w:right w:val="single" w:color="auto" w:sz="8" w:space="0"/>
            </w:tcBorders>
            <w:vAlign w:val="bottom"/>
          </w:tcPr>
          <w:p w14:paraId="40615FF0">
            <w:pPr>
              <w:widowControl/>
              <w:rPr>
                <w:rFonts w:ascii="华文细黑" w:hAnsi="华文细黑" w:eastAsia="华文细黑" w:cs="宋体"/>
                <w:kern w:val="0"/>
                <w:sz w:val="20"/>
                <w:szCs w:val="20"/>
              </w:rPr>
            </w:pPr>
            <w:r>
              <w:rPr>
                <w:rFonts w:hint="eastAsia" w:ascii="华文细黑" w:hAnsi="华文细黑" w:eastAsia="华文细黑" w:cs="宋体"/>
                <w:kern w:val="0"/>
                <w:sz w:val="20"/>
                <w:szCs w:val="20"/>
                <w:highlight w:val="none"/>
              </w:rPr>
              <w:t>（</w:t>
            </w:r>
            <w:r>
              <w:rPr>
                <w:rFonts w:hint="eastAsia" w:ascii="华文细黑" w:hAnsi="华文细黑" w:eastAsia="华文细黑" w:cs="宋体"/>
                <w:kern w:val="0"/>
                <w:sz w:val="20"/>
                <w:szCs w:val="20"/>
                <w:highlight w:val="none"/>
                <w:lang w:val="en-US" w:eastAsia="zh-CN"/>
              </w:rPr>
              <w:t>按本公告第四条第2款项目范围，逐条</w:t>
            </w:r>
            <w:r>
              <w:rPr>
                <w:rFonts w:hint="eastAsia" w:ascii="华文细黑" w:hAnsi="华文细黑" w:eastAsia="华文细黑" w:cs="宋体"/>
                <w:kern w:val="0"/>
                <w:sz w:val="20"/>
                <w:szCs w:val="20"/>
                <w:highlight w:val="none"/>
              </w:rPr>
              <w:t>填写相关服务条目</w:t>
            </w:r>
            <w:r>
              <w:rPr>
                <w:rFonts w:hint="eastAsia" w:ascii="华文细黑" w:hAnsi="华文细黑" w:eastAsia="华文细黑" w:cs="宋体"/>
                <w:kern w:val="0"/>
                <w:sz w:val="20"/>
                <w:szCs w:val="20"/>
                <w:highlight w:val="none"/>
                <w:lang w:val="en-US" w:eastAsia="zh-CN"/>
              </w:rPr>
              <w:t>报价，可续页</w:t>
            </w:r>
            <w:r>
              <w:rPr>
                <w:rFonts w:hint="eastAsia" w:ascii="华文细黑" w:hAnsi="华文细黑" w:eastAsia="华文细黑" w:cs="宋体"/>
                <w:kern w:val="0"/>
                <w:sz w:val="20"/>
                <w:szCs w:val="20"/>
                <w:highlight w:val="none"/>
              </w:rPr>
              <w:t>）</w:t>
            </w:r>
          </w:p>
        </w:tc>
        <w:tc>
          <w:tcPr>
            <w:tcW w:w="1612" w:type="dxa"/>
            <w:tcBorders>
              <w:top w:val="nil"/>
              <w:left w:val="nil"/>
              <w:bottom w:val="single" w:color="000000" w:sz="8" w:space="0"/>
              <w:right w:val="single" w:color="auto" w:sz="8" w:space="0"/>
            </w:tcBorders>
            <w:vAlign w:val="bottom"/>
          </w:tcPr>
          <w:p w14:paraId="0D3044C3">
            <w:pPr>
              <w:widowControl/>
              <w:jc w:val="left"/>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772" w:type="dxa"/>
            <w:tcBorders>
              <w:top w:val="nil"/>
              <w:left w:val="nil"/>
              <w:bottom w:val="single" w:color="000000" w:sz="8" w:space="0"/>
              <w:right w:val="single" w:color="auto" w:sz="8" w:space="0"/>
            </w:tcBorders>
            <w:vAlign w:val="bottom"/>
          </w:tcPr>
          <w:p w14:paraId="711E80DB">
            <w:pPr>
              <w:widowControl/>
              <w:jc w:val="left"/>
              <w:rPr>
                <w:rFonts w:ascii="宋体" w:hAnsi="宋体" w:cs="宋体"/>
                <w:kern w:val="0"/>
                <w:szCs w:val="21"/>
              </w:rPr>
            </w:pPr>
            <w:r>
              <w:rPr>
                <w:rFonts w:hint="eastAsia" w:ascii="宋体" w:hAnsi="宋体" w:cs="宋体"/>
                <w:kern w:val="0"/>
                <w:szCs w:val="21"/>
              </w:rPr>
              <w:t>　</w:t>
            </w:r>
          </w:p>
        </w:tc>
        <w:tc>
          <w:tcPr>
            <w:tcW w:w="1657" w:type="dxa"/>
            <w:tcBorders>
              <w:top w:val="nil"/>
              <w:left w:val="nil"/>
              <w:bottom w:val="single" w:color="000000" w:sz="8" w:space="0"/>
              <w:right w:val="single" w:color="auto" w:sz="8" w:space="0"/>
            </w:tcBorders>
            <w:vAlign w:val="bottom"/>
          </w:tcPr>
          <w:p w14:paraId="2ACF3499">
            <w:pPr>
              <w:widowControl/>
              <w:jc w:val="left"/>
              <w:rPr>
                <w:rFonts w:ascii="宋体" w:hAnsi="宋体" w:cs="宋体"/>
                <w:kern w:val="0"/>
                <w:szCs w:val="21"/>
              </w:rPr>
            </w:pPr>
            <w:r>
              <w:rPr>
                <w:rFonts w:hint="eastAsia" w:ascii="宋体" w:hAnsi="宋体" w:cs="宋体"/>
                <w:kern w:val="0"/>
                <w:szCs w:val="21"/>
              </w:rPr>
              <w:t>　</w:t>
            </w:r>
          </w:p>
        </w:tc>
        <w:tc>
          <w:tcPr>
            <w:tcW w:w="860" w:type="dxa"/>
            <w:tcBorders>
              <w:top w:val="nil"/>
              <w:left w:val="nil"/>
              <w:bottom w:val="single" w:color="000000" w:sz="8" w:space="0"/>
              <w:right w:val="single" w:color="auto" w:sz="8" w:space="0"/>
            </w:tcBorders>
            <w:vAlign w:val="bottom"/>
          </w:tcPr>
          <w:p w14:paraId="1AAC883C">
            <w:pPr>
              <w:widowControl/>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1260" w:type="dxa"/>
            <w:tcBorders>
              <w:top w:val="nil"/>
              <w:left w:val="nil"/>
              <w:bottom w:val="single" w:color="000000" w:sz="8" w:space="0"/>
              <w:right w:val="single" w:color="auto" w:sz="8" w:space="0"/>
            </w:tcBorders>
            <w:vAlign w:val="bottom"/>
          </w:tcPr>
          <w:p w14:paraId="4DB76890">
            <w:pPr>
              <w:widowControl/>
              <w:jc w:val="left"/>
              <w:rPr>
                <w:rFonts w:ascii="宋体" w:hAnsi="宋体" w:cs="宋体"/>
                <w:kern w:val="0"/>
                <w:szCs w:val="21"/>
              </w:rPr>
            </w:pPr>
            <w:r>
              <w:rPr>
                <w:rFonts w:hint="eastAsia" w:ascii="宋体" w:hAnsi="宋体" w:cs="宋体"/>
                <w:kern w:val="0"/>
                <w:szCs w:val="21"/>
              </w:rPr>
              <w:t>　</w:t>
            </w:r>
          </w:p>
        </w:tc>
      </w:tr>
      <w:tr w14:paraId="2D8F8E80">
        <w:tblPrEx>
          <w:tblCellMar>
            <w:top w:w="0" w:type="dxa"/>
            <w:left w:w="108" w:type="dxa"/>
            <w:bottom w:w="0" w:type="dxa"/>
            <w:right w:w="108" w:type="dxa"/>
          </w:tblCellMar>
        </w:tblPrEx>
        <w:trPr>
          <w:trHeight w:val="285" w:hRule="atLeast"/>
        </w:trPr>
        <w:tc>
          <w:tcPr>
            <w:tcW w:w="2691" w:type="dxa"/>
            <w:vMerge w:val="continue"/>
            <w:tcBorders>
              <w:top w:val="nil"/>
              <w:left w:val="single" w:color="auto" w:sz="8" w:space="0"/>
              <w:bottom w:val="single" w:color="000000" w:sz="8" w:space="0"/>
              <w:right w:val="single" w:color="auto" w:sz="8" w:space="0"/>
            </w:tcBorders>
            <w:vAlign w:val="center"/>
          </w:tcPr>
          <w:p w14:paraId="456E029C">
            <w:pPr>
              <w:widowControl/>
              <w:jc w:val="left"/>
              <w:rPr>
                <w:rFonts w:ascii="华文细黑" w:hAnsi="华文细黑" w:eastAsia="华文细黑" w:cs="宋体"/>
                <w:kern w:val="0"/>
                <w:sz w:val="20"/>
                <w:szCs w:val="20"/>
              </w:rPr>
            </w:pPr>
          </w:p>
        </w:tc>
        <w:tc>
          <w:tcPr>
            <w:tcW w:w="1612" w:type="dxa"/>
            <w:tcBorders>
              <w:top w:val="nil"/>
              <w:left w:val="nil"/>
              <w:bottom w:val="single" w:color="auto" w:sz="8" w:space="0"/>
              <w:right w:val="single" w:color="auto" w:sz="8" w:space="0"/>
            </w:tcBorders>
            <w:vAlign w:val="bottom"/>
          </w:tcPr>
          <w:p w14:paraId="6717FDB4">
            <w:pPr>
              <w:widowControl/>
              <w:jc w:val="left"/>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772" w:type="dxa"/>
            <w:tcBorders>
              <w:top w:val="nil"/>
              <w:left w:val="nil"/>
              <w:bottom w:val="single" w:color="auto" w:sz="8" w:space="0"/>
              <w:right w:val="single" w:color="auto" w:sz="8" w:space="0"/>
            </w:tcBorders>
            <w:vAlign w:val="bottom"/>
          </w:tcPr>
          <w:p w14:paraId="23518841">
            <w:pPr>
              <w:widowControl/>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1657" w:type="dxa"/>
            <w:tcBorders>
              <w:top w:val="nil"/>
              <w:left w:val="nil"/>
              <w:bottom w:val="single" w:color="auto" w:sz="8" w:space="0"/>
              <w:right w:val="single" w:color="auto" w:sz="8" w:space="0"/>
            </w:tcBorders>
            <w:vAlign w:val="bottom"/>
          </w:tcPr>
          <w:p w14:paraId="3498B7F3">
            <w:pPr>
              <w:widowControl/>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860" w:type="dxa"/>
            <w:tcBorders>
              <w:top w:val="nil"/>
              <w:left w:val="nil"/>
              <w:bottom w:val="single" w:color="auto" w:sz="8" w:space="0"/>
              <w:right w:val="single" w:color="auto" w:sz="8" w:space="0"/>
            </w:tcBorders>
            <w:vAlign w:val="bottom"/>
          </w:tcPr>
          <w:p w14:paraId="69EE77C9">
            <w:pPr>
              <w:widowControl/>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1260" w:type="dxa"/>
            <w:tcBorders>
              <w:top w:val="nil"/>
              <w:left w:val="nil"/>
              <w:bottom w:val="single" w:color="auto" w:sz="8" w:space="0"/>
              <w:right w:val="single" w:color="auto" w:sz="8" w:space="0"/>
            </w:tcBorders>
            <w:vAlign w:val="bottom"/>
          </w:tcPr>
          <w:p w14:paraId="0DDA0F24">
            <w:pPr>
              <w:widowControl/>
              <w:jc w:val="left"/>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r>
      <w:tr w14:paraId="260E69FE">
        <w:tblPrEx>
          <w:tblCellMar>
            <w:top w:w="0" w:type="dxa"/>
            <w:left w:w="108" w:type="dxa"/>
            <w:bottom w:w="0" w:type="dxa"/>
            <w:right w:w="108" w:type="dxa"/>
          </w:tblCellMar>
        </w:tblPrEx>
        <w:trPr>
          <w:trHeight w:val="90" w:hRule="atLeast"/>
        </w:trPr>
        <w:tc>
          <w:tcPr>
            <w:tcW w:w="2691" w:type="dxa"/>
            <w:vMerge w:val="continue"/>
            <w:tcBorders>
              <w:top w:val="nil"/>
              <w:left w:val="single" w:color="auto" w:sz="8" w:space="0"/>
              <w:bottom w:val="single" w:color="000000" w:sz="8" w:space="0"/>
              <w:right w:val="single" w:color="auto" w:sz="8" w:space="0"/>
            </w:tcBorders>
            <w:vAlign w:val="center"/>
          </w:tcPr>
          <w:p w14:paraId="43337099">
            <w:pPr>
              <w:widowControl/>
              <w:jc w:val="left"/>
              <w:rPr>
                <w:rFonts w:ascii="华文细黑" w:hAnsi="华文细黑" w:eastAsia="华文细黑" w:cs="宋体"/>
                <w:kern w:val="0"/>
                <w:sz w:val="20"/>
                <w:szCs w:val="20"/>
              </w:rPr>
            </w:pPr>
          </w:p>
        </w:tc>
        <w:tc>
          <w:tcPr>
            <w:tcW w:w="1612" w:type="dxa"/>
            <w:tcBorders>
              <w:top w:val="nil"/>
              <w:left w:val="nil"/>
              <w:bottom w:val="single" w:color="auto" w:sz="8" w:space="0"/>
              <w:right w:val="single" w:color="auto" w:sz="8" w:space="0"/>
            </w:tcBorders>
            <w:vAlign w:val="bottom"/>
          </w:tcPr>
          <w:p w14:paraId="1B916D8B">
            <w:pPr>
              <w:widowControl/>
              <w:jc w:val="left"/>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772" w:type="dxa"/>
            <w:tcBorders>
              <w:top w:val="nil"/>
              <w:left w:val="nil"/>
              <w:bottom w:val="single" w:color="auto" w:sz="8" w:space="0"/>
              <w:right w:val="single" w:color="auto" w:sz="8" w:space="0"/>
            </w:tcBorders>
            <w:vAlign w:val="bottom"/>
          </w:tcPr>
          <w:p w14:paraId="370D0EEB">
            <w:pPr>
              <w:widowControl/>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1657" w:type="dxa"/>
            <w:tcBorders>
              <w:top w:val="nil"/>
              <w:left w:val="nil"/>
              <w:bottom w:val="single" w:color="auto" w:sz="8" w:space="0"/>
              <w:right w:val="single" w:color="auto" w:sz="8" w:space="0"/>
            </w:tcBorders>
            <w:vAlign w:val="bottom"/>
          </w:tcPr>
          <w:p w14:paraId="68AB9321">
            <w:pPr>
              <w:widowControl/>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860" w:type="dxa"/>
            <w:tcBorders>
              <w:top w:val="nil"/>
              <w:left w:val="nil"/>
              <w:bottom w:val="single" w:color="auto" w:sz="8" w:space="0"/>
              <w:right w:val="single" w:color="auto" w:sz="8" w:space="0"/>
            </w:tcBorders>
            <w:vAlign w:val="bottom"/>
          </w:tcPr>
          <w:p w14:paraId="2B1E3E8A">
            <w:pPr>
              <w:widowControl/>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1260" w:type="dxa"/>
            <w:tcBorders>
              <w:top w:val="nil"/>
              <w:left w:val="nil"/>
              <w:bottom w:val="single" w:color="auto" w:sz="8" w:space="0"/>
              <w:right w:val="single" w:color="auto" w:sz="8" w:space="0"/>
            </w:tcBorders>
            <w:vAlign w:val="bottom"/>
          </w:tcPr>
          <w:p w14:paraId="4A467DF8">
            <w:pPr>
              <w:widowControl/>
              <w:jc w:val="left"/>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r>
      <w:tr w14:paraId="3770E204">
        <w:tblPrEx>
          <w:tblCellMar>
            <w:top w:w="0" w:type="dxa"/>
            <w:left w:w="108" w:type="dxa"/>
            <w:bottom w:w="0" w:type="dxa"/>
            <w:right w:w="108" w:type="dxa"/>
          </w:tblCellMar>
        </w:tblPrEx>
        <w:trPr>
          <w:trHeight w:val="753" w:hRule="atLeast"/>
        </w:trPr>
        <w:tc>
          <w:tcPr>
            <w:tcW w:w="2691" w:type="dxa"/>
            <w:tcBorders>
              <w:top w:val="nil"/>
              <w:left w:val="single" w:color="auto" w:sz="8" w:space="0"/>
              <w:bottom w:val="single" w:color="auto" w:sz="8" w:space="0"/>
              <w:right w:val="single" w:color="auto" w:sz="8" w:space="0"/>
            </w:tcBorders>
            <w:vAlign w:val="bottom"/>
          </w:tcPr>
          <w:p w14:paraId="31A4894E">
            <w:pPr>
              <w:widowControl/>
              <w:jc w:val="center"/>
              <w:rPr>
                <w:rFonts w:ascii="华文细黑" w:hAnsi="华文细黑" w:eastAsia="华文细黑" w:cs="宋体"/>
                <w:kern w:val="0"/>
                <w:szCs w:val="21"/>
              </w:rPr>
            </w:pPr>
            <w:r>
              <w:rPr>
                <w:rFonts w:hint="eastAsia" w:ascii="华文细黑" w:hAnsi="华文细黑" w:eastAsia="华文细黑" w:cs="宋体"/>
                <w:kern w:val="0"/>
                <w:szCs w:val="21"/>
              </w:rPr>
              <w:t>厂家免费提供的其他服务</w:t>
            </w:r>
          </w:p>
        </w:tc>
        <w:tc>
          <w:tcPr>
            <w:tcW w:w="6161" w:type="dxa"/>
            <w:gridSpan w:val="5"/>
            <w:tcBorders>
              <w:top w:val="single" w:color="auto" w:sz="8" w:space="0"/>
              <w:left w:val="nil"/>
              <w:bottom w:val="single" w:color="auto" w:sz="8" w:space="0"/>
              <w:right w:val="single" w:color="000000" w:sz="8" w:space="0"/>
            </w:tcBorders>
            <w:vAlign w:val="bottom"/>
          </w:tcPr>
          <w:p w14:paraId="29AEB475">
            <w:pPr>
              <w:widowControl/>
              <w:rPr>
                <w:rFonts w:ascii="华文细黑" w:hAnsi="华文细黑" w:eastAsia="华文细黑" w:cs="宋体"/>
                <w:b/>
                <w:bCs/>
                <w:kern w:val="0"/>
                <w:szCs w:val="21"/>
              </w:rPr>
            </w:pPr>
            <w:r>
              <w:rPr>
                <w:rFonts w:hint="eastAsia" w:ascii="华文细黑" w:hAnsi="华文细黑" w:eastAsia="华文细黑" w:cs="宋体"/>
                <w:b/>
                <w:bCs/>
                <w:kern w:val="0"/>
                <w:szCs w:val="21"/>
              </w:rPr>
              <w:t>　</w:t>
            </w:r>
          </w:p>
        </w:tc>
      </w:tr>
      <w:tr w14:paraId="487D203D">
        <w:tblPrEx>
          <w:tblCellMar>
            <w:top w:w="0" w:type="dxa"/>
            <w:left w:w="108" w:type="dxa"/>
            <w:bottom w:w="0" w:type="dxa"/>
            <w:right w:w="108" w:type="dxa"/>
          </w:tblCellMar>
        </w:tblPrEx>
        <w:trPr>
          <w:trHeight w:val="1501" w:hRule="atLeast"/>
        </w:trPr>
        <w:tc>
          <w:tcPr>
            <w:tcW w:w="2691" w:type="dxa"/>
            <w:tcBorders>
              <w:top w:val="nil"/>
              <w:left w:val="single" w:color="auto" w:sz="8" w:space="0"/>
              <w:bottom w:val="single" w:color="auto" w:sz="4" w:space="0"/>
              <w:right w:val="single" w:color="auto" w:sz="8" w:space="0"/>
            </w:tcBorders>
            <w:vAlign w:val="bottom"/>
          </w:tcPr>
          <w:p w14:paraId="4538AEC9">
            <w:pPr>
              <w:widowControl/>
              <w:rPr>
                <w:rFonts w:ascii="华文细黑" w:hAnsi="华文细黑" w:eastAsia="华文细黑" w:cs="宋体"/>
                <w:b/>
                <w:bCs/>
                <w:kern w:val="0"/>
                <w:szCs w:val="21"/>
              </w:rPr>
            </w:pPr>
            <w:r>
              <w:rPr>
                <w:rFonts w:hint="eastAsia" w:ascii="华文细黑" w:hAnsi="华文细黑" w:eastAsia="华文细黑" w:cs="宋体"/>
                <w:b/>
                <w:bCs/>
                <w:kern w:val="0"/>
                <w:szCs w:val="21"/>
              </w:rPr>
              <w:t>项目总报价（</w:t>
            </w:r>
            <w:r>
              <w:rPr>
                <w:rFonts w:hint="eastAsia" w:ascii="华文细黑" w:hAnsi="华文细黑" w:eastAsia="华文细黑" w:cs="宋体"/>
                <w:kern w:val="0"/>
                <w:szCs w:val="21"/>
              </w:rPr>
              <w:t>含</w:t>
            </w:r>
            <w:r>
              <w:rPr>
                <w:rFonts w:hint="eastAsia" w:ascii="华文细黑" w:hAnsi="华文细黑" w:eastAsia="华文细黑" w:cs="宋体"/>
                <w:kern w:val="0"/>
                <w:szCs w:val="21"/>
                <w:lang w:eastAsia="zh-CN"/>
              </w:rPr>
              <w:t>参与竞价单位</w:t>
            </w:r>
            <w:r>
              <w:rPr>
                <w:rFonts w:hint="eastAsia" w:ascii="华文细黑" w:hAnsi="华文细黑" w:eastAsia="华文细黑" w:cs="宋体"/>
                <w:kern w:val="0"/>
                <w:szCs w:val="21"/>
              </w:rPr>
              <w:t>在</w:t>
            </w:r>
            <w:r>
              <w:rPr>
                <w:rFonts w:hint="eastAsia" w:ascii="华文细黑" w:hAnsi="华文细黑" w:eastAsia="华文细黑" w:cs="宋体"/>
                <w:kern w:val="0"/>
                <w:szCs w:val="21"/>
                <w:lang w:val="en-US" w:eastAsia="zh-CN"/>
              </w:rPr>
              <w:t>竞价公告</w:t>
            </w:r>
            <w:r>
              <w:rPr>
                <w:rFonts w:hint="eastAsia" w:ascii="华文细黑" w:hAnsi="华文细黑" w:eastAsia="华文细黑" w:cs="宋体"/>
                <w:kern w:val="0"/>
                <w:szCs w:val="21"/>
              </w:rPr>
              <w:t>项下的一切设备和服务的</w:t>
            </w:r>
            <w:r>
              <w:rPr>
                <w:rFonts w:hint="eastAsia" w:ascii="华文细黑" w:hAnsi="华文细黑" w:eastAsia="华文细黑" w:cs="宋体"/>
                <w:kern w:val="0"/>
                <w:szCs w:val="21"/>
                <w:lang w:val="en-US" w:eastAsia="zh-CN"/>
              </w:rPr>
              <w:t>含税</w:t>
            </w:r>
            <w:r>
              <w:rPr>
                <w:rFonts w:hint="eastAsia" w:ascii="华文细黑" w:hAnsi="华文细黑" w:eastAsia="华文细黑" w:cs="宋体"/>
                <w:kern w:val="0"/>
                <w:szCs w:val="21"/>
              </w:rPr>
              <w:t>价款）</w:t>
            </w:r>
          </w:p>
        </w:tc>
        <w:tc>
          <w:tcPr>
            <w:tcW w:w="6161" w:type="dxa"/>
            <w:gridSpan w:val="5"/>
            <w:tcBorders>
              <w:top w:val="single" w:color="auto" w:sz="8" w:space="0"/>
              <w:left w:val="nil"/>
              <w:bottom w:val="single" w:color="auto" w:sz="8" w:space="0"/>
              <w:right w:val="single" w:color="000000" w:sz="8" w:space="0"/>
            </w:tcBorders>
            <w:vAlign w:val="bottom"/>
          </w:tcPr>
          <w:p w14:paraId="5948B72D">
            <w:pPr>
              <w:widowControl/>
              <w:rPr>
                <w:rFonts w:ascii="华文细黑" w:hAnsi="华文细黑" w:eastAsia="华文细黑" w:cs="宋体"/>
                <w:b/>
                <w:bCs/>
                <w:kern w:val="0"/>
                <w:szCs w:val="21"/>
              </w:rPr>
            </w:pPr>
            <w:r>
              <w:rPr>
                <w:rFonts w:hint="eastAsia" w:ascii="华文细黑" w:hAnsi="华文细黑" w:eastAsia="华文细黑" w:cs="宋体"/>
                <w:b/>
                <w:bCs/>
                <w:kern w:val="0"/>
                <w:szCs w:val="21"/>
              </w:rPr>
              <w:t>大写：人民币</w:t>
            </w:r>
            <w:r>
              <w:rPr>
                <w:rFonts w:hint="eastAsia" w:ascii="华文细黑" w:hAnsi="华文细黑" w:eastAsia="华文细黑" w:cs="宋体"/>
                <w:b/>
                <w:bCs/>
                <w:kern w:val="0"/>
                <w:szCs w:val="21"/>
                <w:u w:val="single"/>
              </w:rPr>
              <w:t xml:space="preserve">                      </w:t>
            </w:r>
            <w:r>
              <w:rPr>
                <w:rFonts w:hint="eastAsia" w:ascii="华文细黑" w:hAnsi="华文细黑" w:eastAsia="华文细黑" w:cs="宋体"/>
                <w:b/>
                <w:bCs/>
                <w:kern w:val="0"/>
                <w:szCs w:val="21"/>
              </w:rPr>
              <w:t>（小写￥</w:t>
            </w:r>
            <w:r>
              <w:rPr>
                <w:rFonts w:hint="eastAsia" w:ascii="华文细黑" w:hAnsi="华文细黑" w:eastAsia="华文细黑" w:cs="宋体"/>
                <w:b/>
                <w:bCs/>
                <w:kern w:val="0"/>
                <w:szCs w:val="21"/>
                <w:u w:val="single"/>
              </w:rPr>
              <w:t xml:space="preserve">           </w:t>
            </w:r>
            <w:r>
              <w:rPr>
                <w:rFonts w:hint="eastAsia" w:ascii="华文细黑" w:hAnsi="华文细黑" w:eastAsia="华文细黑" w:cs="宋体"/>
                <w:b/>
                <w:bCs/>
                <w:kern w:val="0"/>
                <w:szCs w:val="21"/>
              </w:rPr>
              <w:t xml:space="preserve"> ）</w:t>
            </w:r>
          </w:p>
        </w:tc>
      </w:tr>
      <w:tr w14:paraId="53F51179">
        <w:tblPrEx>
          <w:tblCellMar>
            <w:top w:w="0" w:type="dxa"/>
            <w:left w:w="108" w:type="dxa"/>
            <w:bottom w:w="0" w:type="dxa"/>
            <w:right w:w="108" w:type="dxa"/>
          </w:tblCellMar>
        </w:tblPrEx>
        <w:trPr>
          <w:trHeight w:val="1473" w:hRule="atLeast"/>
        </w:trPr>
        <w:tc>
          <w:tcPr>
            <w:tcW w:w="2691" w:type="dxa"/>
            <w:tcBorders>
              <w:top w:val="single" w:color="auto" w:sz="4" w:space="0"/>
              <w:left w:val="single" w:color="auto" w:sz="8" w:space="0"/>
              <w:bottom w:val="single" w:color="auto" w:sz="8" w:space="0"/>
              <w:right w:val="single" w:color="auto" w:sz="8" w:space="0"/>
            </w:tcBorders>
            <w:vAlign w:val="bottom"/>
          </w:tcPr>
          <w:p w14:paraId="10A8DC76">
            <w:pPr>
              <w:widowControl/>
              <w:rPr>
                <w:rFonts w:hint="default" w:ascii="华文细黑" w:hAnsi="华文细黑" w:eastAsia="华文细黑" w:cs="宋体"/>
                <w:b/>
                <w:bCs/>
                <w:kern w:val="0"/>
                <w:szCs w:val="21"/>
                <w:lang w:val="en-US" w:eastAsia="zh-CN"/>
              </w:rPr>
            </w:pPr>
            <w:r>
              <w:rPr>
                <w:rFonts w:hint="eastAsia" w:ascii="华文细黑" w:hAnsi="华文细黑" w:eastAsia="华文细黑" w:cs="宋体"/>
                <w:b/>
                <w:bCs/>
                <w:kern w:val="0"/>
                <w:szCs w:val="21"/>
                <w:lang w:val="en-US" w:eastAsia="zh-CN"/>
              </w:rPr>
              <w:t>系统后续的维保费用</w:t>
            </w:r>
          </w:p>
        </w:tc>
        <w:tc>
          <w:tcPr>
            <w:tcW w:w="6161" w:type="dxa"/>
            <w:gridSpan w:val="5"/>
            <w:tcBorders>
              <w:top w:val="single" w:color="auto" w:sz="8" w:space="0"/>
              <w:left w:val="nil"/>
              <w:bottom w:val="single" w:color="auto" w:sz="8" w:space="0"/>
              <w:right w:val="single" w:color="000000" w:sz="8" w:space="0"/>
            </w:tcBorders>
            <w:vAlign w:val="bottom"/>
          </w:tcPr>
          <w:p w14:paraId="771AB85C">
            <w:pPr>
              <w:widowControl/>
              <w:rPr>
                <w:rFonts w:hint="default" w:ascii="华文细黑" w:hAnsi="华文细黑" w:eastAsia="华文细黑" w:cs="宋体"/>
                <w:b/>
                <w:bCs/>
                <w:kern w:val="0"/>
                <w:szCs w:val="21"/>
                <w:lang w:val="en-US" w:eastAsia="zh-CN"/>
              </w:rPr>
            </w:pPr>
            <w:r>
              <w:rPr>
                <w:rFonts w:hint="eastAsia" w:ascii="华文细黑" w:hAnsi="华文细黑" w:eastAsia="华文细黑" w:cs="宋体"/>
                <w:b/>
                <w:bCs/>
                <w:kern w:val="0"/>
                <w:szCs w:val="21"/>
                <w:lang w:val="en-US" w:eastAsia="zh-CN"/>
              </w:rPr>
              <w:t>维保费用首年人民币    ；后续每年人民币  元（或者按照系统总价的 %）</w:t>
            </w:r>
          </w:p>
        </w:tc>
      </w:tr>
    </w:tbl>
    <w:p w14:paraId="18BDFEBC">
      <w:pPr>
        <w:pStyle w:val="7"/>
        <w:adjustRightInd w:val="0"/>
        <w:snapToGrid w:val="0"/>
        <w:spacing w:before="0" w:beforeAutospacing="0" w:after="0" w:afterAutospacing="0" w:line="0" w:lineRule="atLeast"/>
        <w:rPr>
          <w:rFonts w:hint="eastAsia" w:ascii="华文细黑" w:hAnsi="华文细黑" w:eastAsia="华文细黑"/>
          <w:sz w:val="21"/>
          <w:szCs w:val="21"/>
        </w:rPr>
      </w:pPr>
      <w:r>
        <w:rPr>
          <w:rFonts w:hint="eastAsia" w:ascii="华文细黑" w:hAnsi="华文细黑" w:eastAsia="华文细黑"/>
          <w:sz w:val="21"/>
          <w:szCs w:val="21"/>
        </w:rPr>
        <w:t>本公司已阅读并完全理解</w:t>
      </w:r>
      <w:r>
        <w:rPr>
          <w:rFonts w:hint="eastAsia" w:ascii="华文细黑" w:hAnsi="华文细黑" w:eastAsia="华文细黑"/>
          <w:sz w:val="21"/>
          <w:szCs w:val="21"/>
          <w:lang w:eastAsia="zh-CN"/>
        </w:rPr>
        <w:t>参与竞价单位</w:t>
      </w:r>
      <w:r>
        <w:rPr>
          <w:rFonts w:hint="eastAsia" w:ascii="华文细黑" w:hAnsi="华文细黑" w:eastAsia="华文细黑"/>
          <w:sz w:val="21"/>
          <w:szCs w:val="21"/>
          <w:lang w:val="en-US" w:eastAsia="zh-CN"/>
        </w:rPr>
        <w:t>竞价公告</w:t>
      </w:r>
      <w:r>
        <w:rPr>
          <w:rFonts w:hint="eastAsia" w:ascii="华文细黑" w:hAnsi="华文细黑" w:eastAsia="华文细黑"/>
          <w:sz w:val="21"/>
          <w:szCs w:val="21"/>
        </w:rPr>
        <w:t>的全部内容，本公司承诺对</w:t>
      </w:r>
      <w:r>
        <w:rPr>
          <w:rFonts w:hint="eastAsia" w:ascii="华文细黑" w:hAnsi="华文细黑" w:eastAsia="华文细黑"/>
          <w:sz w:val="21"/>
          <w:szCs w:val="21"/>
          <w:lang w:val="en-US" w:eastAsia="zh-CN"/>
        </w:rPr>
        <w:t>项目采购需求、服务要求、项目周期、资格要求</w:t>
      </w:r>
      <w:r>
        <w:rPr>
          <w:rFonts w:hint="eastAsia" w:ascii="华文细黑" w:hAnsi="华文细黑" w:eastAsia="华文细黑"/>
          <w:sz w:val="21"/>
          <w:szCs w:val="21"/>
        </w:rPr>
        <w:t>以及特别</w:t>
      </w:r>
      <w:r>
        <w:rPr>
          <w:rFonts w:hint="eastAsia" w:ascii="华文细黑" w:hAnsi="华文细黑" w:eastAsia="华文细黑"/>
          <w:sz w:val="21"/>
          <w:szCs w:val="21"/>
          <w:lang w:val="en-US" w:eastAsia="zh-CN"/>
        </w:rPr>
        <w:t>说明</w:t>
      </w:r>
      <w:r>
        <w:rPr>
          <w:rFonts w:hint="eastAsia" w:ascii="华文细黑" w:hAnsi="华文细黑" w:eastAsia="华文细黑"/>
          <w:sz w:val="21"/>
          <w:szCs w:val="21"/>
        </w:rPr>
        <w:t>中的所有要求均能满足。本公司确认以上内容情况属实。</w:t>
      </w:r>
    </w:p>
    <w:p w14:paraId="3DDD51E0">
      <w:pPr>
        <w:pStyle w:val="7"/>
        <w:adjustRightInd w:val="0"/>
        <w:snapToGrid w:val="0"/>
        <w:spacing w:before="0" w:beforeAutospacing="0" w:after="0" w:afterAutospacing="0" w:line="0" w:lineRule="atLeast"/>
        <w:ind w:firstLine="420"/>
        <w:rPr>
          <w:rFonts w:hint="eastAsia" w:ascii="华文细黑" w:hAnsi="华文细黑" w:eastAsia="华文细黑"/>
          <w:sz w:val="21"/>
          <w:szCs w:val="21"/>
        </w:rPr>
      </w:pPr>
    </w:p>
    <w:p w14:paraId="57A52F7F">
      <w:pPr>
        <w:pStyle w:val="7"/>
        <w:adjustRightInd w:val="0"/>
        <w:snapToGrid w:val="0"/>
        <w:spacing w:before="0" w:beforeAutospacing="0" w:after="0" w:afterAutospacing="0" w:line="0" w:lineRule="atLeast"/>
        <w:ind w:firstLine="420"/>
        <w:rPr>
          <w:rFonts w:hint="eastAsia" w:ascii="华文细黑" w:hAnsi="华文细黑" w:eastAsia="华文细黑"/>
          <w:sz w:val="21"/>
          <w:szCs w:val="21"/>
        </w:rPr>
      </w:pPr>
    </w:p>
    <w:p w14:paraId="510C868C">
      <w:pPr>
        <w:spacing w:line="0" w:lineRule="atLeast"/>
        <w:ind w:left="417"/>
        <w:rPr>
          <w:rFonts w:hint="eastAsia" w:ascii="华文细黑" w:hAnsi="华文细黑" w:eastAsia="华文细黑"/>
          <w:b/>
          <w:szCs w:val="21"/>
        </w:rPr>
      </w:pPr>
      <w:r>
        <w:rPr>
          <w:rFonts w:hint="eastAsia" w:ascii="华文细黑" w:hAnsi="华文细黑" w:eastAsia="华文细黑"/>
          <w:b/>
          <w:szCs w:val="21"/>
        </w:rPr>
        <w:t>授权代表签字：</w:t>
      </w:r>
      <w:r>
        <w:rPr>
          <w:rFonts w:hint="eastAsia" w:ascii="华文细黑" w:hAnsi="华文细黑" w:eastAsia="华文细黑"/>
          <w:b/>
          <w:szCs w:val="21"/>
          <w:u w:val="single"/>
        </w:rPr>
        <w:t xml:space="preserve">               </w:t>
      </w:r>
      <w:r>
        <w:rPr>
          <w:rFonts w:hint="eastAsia" w:ascii="华文细黑" w:hAnsi="华文细黑" w:eastAsia="华文细黑"/>
          <w:b/>
          <w:szCs w:val="21"/>
        </w:rPr>
        <w:t xml:space="preserve">   单位（盖章）    年   月   日</w:t>
      </w:r>
    </w:p>
    <w:p w14:paraId="0263742E">
      <w:pPr>
        <w:spacing w:line="360" w:lineRule="auto"/>
        <w:rPr>
          <w:rFonts w:hint="eastAsia" w:ascii="黑体" w:hAnsi="黑体" w:eastAsia="黑体" w:cs="黑体"/>
          <w:b/>
          <w:sz w:val="24"/>
        </w:rPr>
      </w:pPr>
    </w:p>
    <w:p w14:paraId="25BCD294">
      <w:pPr>
        <w:spacing w:line="360" w:lineRule="auto"/>
        <w:rPr>
          <w:rFonts w:hint="eastAsia" w:ascii="黑体" w:hAnsi="黑体" w:eastAsia="黑体" w:cs="黑体"/>
          <w:b/>
          <w:sz w:val="24"/>
        </w:rPr>
      </w:pPr>
    </w:p>
    <w:p w14:paraId="15D9078E">
      <w:pPr>
        <w:spacing w:line="360" w:lineRule="auto"/>
        <w:rPr>
          <w:rFonts w:hint="eastAsia" w:ascii="黑体" w:hAnsi="黑体" w:eastAsia="黑体" w:cs="黑体"/>
          <w:b/>
          <w:sz w:val="24"/>
        </w:rPr>
      </w:pPr>
    </w:p>
    <w:p w14:paraId="25771BBD">
      <w:pPr>
        <w:spacing w:line="360" w:lineRule="auto"/>
        <w:rPr>
          <w:rFonts w:hint="eastAsia" w:ascii="黑体" w:hAnsi="黑体" w:eastAsia="黑体" w:cs="黑体"/>
          <w:b/>
          <w:sz w:val="24"/>
          <w:lang w:val="en-US" w:eastAsia="zh-CN"/>
        </w:rPr>
      </w:pPr>
      <w:r>
        <w:rPr>
          <w:rFonts w:hint="eastAsia" w:ascii="黑体" w:hAnsi="黑体" w:eastAsia="黑体" w:cs="黑体"/>
          <w:b/>
          <w:sz w:val="24"/>
        </w:rPr>
        <w:t>附表</w:t>
      </w:r>
      <w:r>
        <w:rPr>
          <w:rFonts w:hint="eastAsia" w:ascii="黑体" w:hAnsi="黑体" w:eastAsia="黑体" w:cs="黑体"/>
          <w:b/>
          <w:sz w:val="24"/>
          <w:lang w:val="en-US" w:eastAsia="zh-CN"/>
        </w:rPr>
        <w:t>2</w:t>
      </w:r>
    </w:p>
    <w:p w14:paraId="6091CCA7">
      <w:pPr>
        <w:spacing w:line="360" w:lineRule="auto"/>
        <w:ind w:firstLine="57"/>
        <w:jc w:val="center"/>
        <w:rPr>
          <w:rFonts w:hint="eastAsia" w:ascii="华文细黑" w:hAnsi="华文细黑" w:eastAsia="华文细黑"/>
          <w:b/>
          <w:bCs/>
          <w:sz w:val="28"/>
          <w:szCs w:val="28"/>
          <w:lang w:eastAsia="zh-CN"/>
        </w:rPr>
      </w:pPr>
      <w:r>
        <w:rPr>
          <w:rFonts w:hint="eastAsia" w:ascii="华文细黑" w:hAnsi="华文细黑" w:eastAsia="华文细黑"/>
          <w:b/>
          <w:bCs/>
          <w:sz w:val="28"/>
          <w:szCs w:val="28"/>
          <w:lang w:val="en-US" w:eastAsia="zh-CN"/>
        </w:rPr>
        <w:t>反洗钱系统新建项目</w:t>
      </w:r>
      <w:r>
        <w:rPr>
          <w:rFonts w:hint="eastAsia" w:ascii="华文细黑" w:hAnsi="华文细黑" w:eastAsia="华文细黑"/>
          <w:b/>
          <w:bCs/>
          <w:sz w:val="28"/>
          <w:szCs w:val="28"/>
        </w:rPr>
        <w:t>报价单</w:t>
      </w:r>
      <w:r>
        <w:rPr>
          <w:rFonts w:hint="eastAsia" w:ascii="华文细黑" w:hAnsi="华文细黑" w:eastAsia="华文细黑"/>
          <w:b/>
          <w:bCs/>
          <w:sz w:val="28"/>
          <w:szCs w:val="28"/>
          <w:lang w:eastAsia="zh-CN"/>
        </w:rPr>
        <w:t>（</w:t>
      </w:r>
      <w:r>
        <w:rPr>
          <w:rFonts w:hint="eastAsia" w:ascii="华文细黑" w:hAnsi="华文细黑" w:eastAsia="华文细黑"/>
          <w:b/>
          <w:bCs/>
          <w:sz w:val="28"/>
          <w:szCs w:val="28"/>
          <w:lang w:val="en-US" w:eastAsia="zh-CN"/>
        </w:rPr>
        <w:t>含必要+选建内容</w:t>
      </w:r>
      <w:r>
        <w:rPr>
          <w:rFonts w:hint="eastAsia" w:ascii="华文细黑" w:hAnsi="华文细黑" w:eastAsia="华文细黑"/>
          <w:b/>
          <w:bCs/>
          <w:sz w:val="28"/>
          <w:szCs w:val="28"/>
          <w:lang w:eastAsia="zh-CN"/>
        </w:rPr>
        <w:t>）</w:t>
      </w:r>
    </w:p>
    <w:p w14:paraId="23C84952">
      <w:pPr>
        <w:spacing w:line="360" w:lineRule="auto"/>
        <w:rPr>
          <w:rFonts w:ascii="华文细黑" w:hAnsi="华文细黑" w:eastAsia="华文细黑"/>
          <w:szCs w:val="21"/>
          <w:u w:val="single"/>
        </w:rPr>
      </w:pPr>
      <w:r>
        <w:rPr>
          <w:rFonts w:ascii="华文细黑" w:hAnsi="华文细黑" w:eastAsia="华文细黑"/>
          <w:b/>
          <w:szCs w:val="21"/>
        </w:rPr>
        <w:t>报价人</w:t>
      </w:r>
      <w:r>
        <w:rPr>
          <w:rFonts w:ascii="华文细黑" w:hAnsi="华文细黑" w:eastAsia="华文细黑"/>
          <w:szCs w:val="21"/>
        </w:rPr>
        <w:t>:</w:t>
      </w:r>
      <w:r>
        <w:rPr>
          <w:rFonts w:ascii="华文细黑" w:hAnsi="华文细黑" w:eastAsia="华文细黑"/>
          <w:szCs w:val="21"/>
          <w:u w:val="single"/>
        </w:rPr>
        <w:t xml:space="preserve">                       </w:t>
      </w:r>
      <w:r>
        <w:rPr>
          <w:rFonts w:ascii="华文细黑" w:hAnsi="华文细黑" w:eastAsia="华文细黑"/>
          <w:szCs w:val="21"/>
        </w:rPr>
        <w:t>公司</w:t>
      </w:r>
    </w:p>
    <w:p w14:paraId="08191D27">
      <w:pPr>
        <w:spacing w:line="360" w:lineRule="auto"/>
        <w:rPr>
          <w:rFonts w:ascii="华文细黑" w:hAnsi="华文细黑" w:eastAsia="华文细黑"/>
          <w:szCs w:val="21"/>
          <w:u w:val="single"/>
        </w:rPr>
      </w:pPr>
      <w:r>
        <w:rPr>
          <w:rFonts w:ascii="华文细黑" w:hAnsi="华文细黑" w:eastAsia="华文细黑"/>
          <w:b/>
          <w:szCs w:val="21"/>
        </w:rPr>
        <w:t xml:space="preserve">联系人: </w:t>
      </w:r>
      <w:r>
        <w:rPr>
          <w:rFonts w:ascii="华文细黑" w:hAnsi="华文细黑" w:eastAsia="华文细黑"/>
          <w:b/>
          <w:szCs w:val="21"/>
          <w:u w:val="single"/>
        </w:rPr>
        <w:t xml:space="preserve">                      </w:t>
      </w:r>
    </w:p>
    <w:p w14:paraId="4362E00E">
      <w:pPr>
        <w:spacing w:line="360" w:lineRule="auto"/>
        <w:rPr>
          <w:rFonts w:ascii="华文细黑" w:hAnsi="华文细黑" w:eastAsia="华文细黑"/>
          <w:szCs w:val="21"/>
          <w:u w:val="single"/>
        </w:rPr>
      </w:pPr>
      <w:r>
        <w:rPr>
          <w:rFonts w:ascii="华文细黑" w:hAnsi="华文细黑" w:eastAsia="华文细黑"/>
          <w:b/>
          <w:szCs w:val="21"/>
        </w:rPr>
        <w:t>联系电话</w:t>
      </w:r>
      <w:r>
        <w:rPr>
          <w:rFonts w:ascii="华文细黑" w:hAnsi="华文细黑" w:eastAsia="华文细黑"/>
          <w:szCs w:val="21"/>
        </w:rPr>
        <w:t>:</w:t>
      </w:r>
      <w:r>
        <w:rPr>
          <w:rFonts w:ascii="华文细黑" w:hAnsi="华文细黑" w:eastAsia="华文细黑"/>
          <w:szCs w:val="21"/>
          <w:u w:val="single"/>
        </w:rPr>
        <w:t xml:space="preserve">                       </w:t>
      </w:r>
    </w:p>
    <w:p w14:paraId="49F40AE9">
      <w:pPr>
        <w:spacing w:line="360" w:lineRule="auto"/>
        <w:rPr>
          <w:rFonts w:ascii="华文细黑" w:hAnsi="华文细黑" w:eastAsia="华文细黑"/>
          <w:b/>
          <w:bCs/>
          <w:sz w:val="28"/>
          <w:szCs w:val="28"/>
        </w:rPr>
      </w:pPr>
      <w:r>
        <w:rPr>
          <w:rFonts w:ascii="华文细黑" w:hAnsi="华文细黑" w:eastAsia="华文细黑"/>
          <w:szCs w:val="21"/>
        </w:rPr>
        <w:t>回应</w:t>
      </w:r>
      <w:r>
        <w:rPr>
          <w:rFonts w:hint="eastAsia" w:ascii="华文细黑" w:hAnsi="华文细黑" w:eastAsia="华文细黑"/>
          <w:szCs w:val="21"/>
          <w:lang w:eastAsia="zh-CN"/>
        </w:rPr>
        <w:t>参与竞价单位</w:t>
      </w:r>
      <w:r>
        <w:rPr>
          <w:rFonts w:ascii="华文细黑" w:hAnsi="华文细黑" w:eastAsia="华文细黑"/>
          <w:szCs w:val="21"/>
        </w:rPr>
        <w:t>的</w:t>
      </w:r>
      <w:r>
        <w:rPr>
          <w:rFonts w:hint="eastAsia" w:ascii="华文细黑" w:hAnsi="华文细黑" w:eastAsia="华文细黑"/>
          <w:szCs w:val="21"/>
          <w:lang w:val="en-US" w:eastAsia="zh-CN"/>
        </w:rPr>
        <w:t>竞价公告</w:t>
      </w:r>
      <w:r>
        <w:rPr>
          <w:rFonts w:ascii="华文细黑" w:hAnsi="华文细黑" w:eastAsia="华文细黑"/>
          <w:szCs w:val="21"/>
        </w:rPr>
        <w:t>，我公司报价如下：</w:t>
      </w:r>
    </w:p>
    <w:tbl>
      <w:tblPr>
        <w:tblStyle w:val="8"/>
        <w:tblW w:w="8852" w:type="dxa"/>
        <w:tblInd w:w="-118" w:type="dxa"/>
        <w:tblLayout w:type="fixed"/>
        <w:tblCellMar>
          <w:top w:w="0" w:type="dxa"/>
          <w:left w:w="108" w:type="dxa"/>
          <w:bottom w:w="0" w:type="dxa"/>
          <w:right w:w="108" w:type="dxa"/>
        </w:tblCellMar>
      </w:tblPr>
      <w:tblGrid>
        <w:gridCol w:w="2387"/>
        <w:gridCol w:w="1916"/>
        <w:gridCol w:w="772"/>
        <w:gridCol w:w="1657"/>
        <w:gridCol w:w="860"/>
        <w:gridCol w:w="1260"/>
      </w:tblGrid>
      <w:tr w14:paraId="6CC03EA1">
        <w:tblPrEx>
          <w:tblCellMar>
            <w:top w:w="0" w:type="dxa"/>
            <w:left w:w="108" w:type="dxa"/>
            <w:bottom w:w="0" w:type="dxa"/>
            <w:right w:w="108" w:type="dxa"/>
          </w:tblCellMar>
        </w:tblPrEx>
        <w:trPr>
          <w:trHeight w:val="405" w:hRule="atLeast"/>
        </w:trPr>
        <w:tc>
          <w:tcPr>
            <w:tcW w:w="2387" w:type="dxa"/>
            <w:tcBorders>
              <w:top w:val="single" w:color="auto" w:sz="8" w:space="0"/>
              <w:left w:val="single" w:color="auto" w:sz="8" w:space="0"/>
              <w:bottom w:val="single" w:color="auto" w:sz="8" w:space="0"/>
              <w:right w:val="single" w:color="auto" w:sz="8" w:space="0"/>
            </w:tcBorders>
            <w:vAlign w:val="bottom"/>
          </w:tcPr>
          <w:p w14:paraId="79197D4A">
            <w:pPr>
              <w:widowControl/>
              <w:jc w:val="center"/>
              <w:rPr>
                <w:rFonts w:ascii="华文细黑" w:hAnsi="华文细黑" w:eastAsia="华文细黑" w:cs="宋体"/>
                <w:b/>
                <w:bCs/>
                <w:kern w:val="0"/>
                <w:sz w:val="24"/>
              </w:rPr>
            </w:pPr>
            <w:r>
              <w:rPr>
                <w:rFonts w:hint="eastAsia" w:ascii="华文细黑" w:hAnsi="华文细黑" w:eastAsia="华文细黑" w:cs="宋体"/>
                <w:b/>
                <w:bCs/>
                <w:kern w:val="0"/>
                <w:sz w:val="24"/>
              </w:rPr>
              <w:t>服务名称</w:t>
            </w:r>
          </w:p>
        </w:tc>
        <w:tc>
          <w:tcPr>
            <w:tcW w:w="1916" w:type="dxa"/>
            <w:tcBorders>
              <w:top w:val="single" w:color="auto" w:sz="8" w:space="0"/>
              <w:left w:val="nil"/>
              <w:bottom w:val="single" w:color="auto" w:sz="8" w:space="0"/>
              <w:right w:val="single" w:color="auto" w:sz="8" w:space="0"/>
            </w:tcBorders>
            <w:vAlign w:val="bottom"/>
          </w:tcPr>
          <w:p w14:paraId="49C3E088">
            <w:pPr>
              <w:widowControl/>
              <w:jc w:val="center"/>
              <w:rPr>
                <w:rFonts w:ascii="华文细黑" w:hAnsi="华文细黑" w:eastAsia="华文细黑" w:cs="宋体"/>
                <w:b/>
                <w:bCs/>
                <w:kern w:val="0"/>
                <w:sz w:val="24"/>
              </w:rPr>
            </w:pPr>
            <w:r>
              <w:rPr>
                <w:rFonts w:hint="eastAsia" w:ascii="华文细黑" w:hAnsi="华文细黑" w:eastAsia="华文细黑" w:cs="宋体"/>
                <w:b/>
                <w:bCs/>
                <w:kern w:val="0"/>
                <w:sz w:val="24"/>
                <w:lang w:val="en-US" w:eastAsia="zh-CN"/>
              </w:rPr>
              <w:t>功能</w:t>
            </w:r>
          </w:p>
        </w:tc>
        <w:tc>
          <w:tcPr>
            <w:tcW w:w="772" w:type="dxa"/>
            <w:tcBorders>
              <w:top w:val="single" w:color="auto" w:sz="8" w:space="0"/>
              <w:left w:val="nil"/>
              <w:bottom w:val="single" w:color="auto" w:sz="8" w:space="0"/>
              <w:right w:val="single" w:color="auto" w:sz="8" w:space="0"/>
            </w:tcBorders>
            <w:vAlign w:val="bottom"/>
          </w:tcPr>
          <w:p w14:paraId="4873FADB">
            <w:pPr>
              <w:widowControl/>
              <w:jc w:val="center"/>
              <w:rPr>
                <w:rFonts w:ascii="华文细黑" w:hAnsi="华文细黑" w:eastAsia="华文细黑" w:cs="宋体"/>
                <w:b/>
                <w:bCs/>
                <w:kern w:val="0"/>
                <w:sz w:val="24"/>
              </w:rPr>
            </w:pPr>
            <w:r>
              <w:rPr>
                <w:rFonts w:hint="eastAsia" w:ascii="华文细黑" w:hAnsi="华文细黑" w:eastAsia="华文细黑" w:cs="宋体"/>
                <w:b/>
                <w:bCs/>
                <w:kern w:val="0"/>
                <w:sz w:val="24"/>
                <w:lang w:val="en-US" w:eastAsia="zh-CN"/>
              </w:rPr>
              <w:t>单价</w:t>
            </w:r>
          </w:p>
        </w:tc>
        <w:tc>
          <w:tcPr>
            <w:tcW w:w="1657" w:type="dxa"/>
            <w:tcBorders>
              <w:top w:val="single" w:color="auto" w:sz="8" w:space="0"/>
              <w:left w:val="nil"/>
              <w:bottom w:val="single" w:color="auto" w:sz="8" w:space="0"/>
              <w:right w:val="single" w:color="auto" w:sz="8" w:space="0"/>
            </w:tcBorders>
            <w:vAlign w:val="bottom"/>
          </w:tcPr>
          <w:p w14:paraId="657A12D2">
            <w:pPr>
              <w:widowControl/>
              <w:jc w:val="center"/>
              <w:rPr>
                <w:rFonts w:ascii="华文细黑" w:hAnsi="华文细黑" w:eastAsia="华文细黑" w:cs="宋体"/>
                <w:b/>
                <w:bCs/>
                <w:kern w:val="0"/>
                <w:sz w:val="24"/>
              </w:rPr>
            </w:pPr>
            <w:r>
              <w:rPr>
                <w:rFonts w:hint="eastAsia" w:ascii="华文细黑" w:hAnsi="华文细黑" w:eastAsia="华文细黑" w:cs="宋体"/>
                <w:b/>
                <w:bCs/>
                <w:kern w:val="0"/>
                <w:sz w:val="24"/>
              </w:rPr>
              <w:t>数量</w:t>
            </w:r>
            <w:r>
              <w:rPr>
                <w:rFonts w:hint="eastAsia" w:ascii="华文细黑" w:hAnsi="华文细黑" w:eastAsia="华文细黑" w:cs="宋体"/>
                <w:b/>
                <w:bCs/>
                <w:kern w:val="0"/>
                <w:sz w:val="24"/>
                <w:lang w:eastAsia="zh-CN"/>
              </w:rPr>
              <w:t>（</w:t>
            </w:r>
            <w:r>
              <w:rPr>
                <w:rFonts w:hint="eastAsia" w:ascii="华文细黑" w:hAnsi="华文细黑" w:eastAsia="华文细黑" w:cs="宋体"/>
                <w:b/>
                <w:bCs/>
                <w:kern w:val="0"/>
                <w:sz w:val="24"/>
                <w:lang w:val="en-US" w:eastAsia="zh-CN"/>
              </w:rPr>
              <w:t>人/月</w:t>
            </w:r>
            <w:r>
              <w:rPr>
                <w:rFonts w:hint="eastAsia" w:ascii="华文细黑" w:hAnsi="华文细黑" w:eastAsia="华文细黑" w:cs="宋体"/>
                <w:b/>
                <w:bCs/>
                <w:kern w:val="0"/>
                <w:sz w:val="24"/>
                <w:lang w:eastAsia="zh-CN"/>
              </w:rPr>
              <w:t>）</w:t>
            </w:r>
          </w:p>
        </w:tc>
        <w:tc>
          <w:tcPr>
            <w:tcW w:w="860" w:type="dxa"/>
            <w:tcBorders>
              <w:top w:val="single" w:color="auto" w:sz="8" w:space="0"/>
              <w:left w:val="nil"/>
              <w:bottom w:val="single" w:color="auto" w:sz="8" w:space="0"/>
              <w:right w:val="single" w:color="auto" w:sz="8" w:space="0"/>
            </w:tcBorders>
            <w:vAlign w:val="bottom"/>
          </w:tcPr>
          <w:p w14:paraId="4D80DD74">
            <w:pPr>
              <w:widowControl/>
              <w:jc w:val="center"/>
              <w:rPr>
                <w:rFonts w:ascii="华文细黑" w:hAnsi="华文细黑" w:eastAsia="华文细黑" w:cs="宋体"/>
                <w:b/>
                <w:bCs/>
                <w:kern w:val="0"/>
                <w:sz w:val="24"/>
              </w:rPr>
            </w:pPr>
            <w:r>
              <w:rPr>
                <w:rFonts w:hint="eastAsia" w:ascii="华文细黑" w:hAnsi="华文细黑" w:eastAsia="华文细黑" w:cs="宋体"/>
                <w:b/>
                <w:bCs/>
                <w:kern w:val="0"/>
                <w:sz w:val="24"/>
              </w:rPr>
              <w:t>价格</w:t>
            </w:r>
          </w:p>
        </w:tc>
        <w:tc>
          <w:tcPr>
            <w:tcW w:w="1260" w:type="dxa"/>
            <w:tcBorders>
              <w:top w:val="single" w:color="auto" w:sz="8" w:space="0"/>
              <w:left w:val="nil"/>
              <w:bottom w:val="single" w:color="auto" w:sz="8" w:space="0"/>
              <w:right w:val="single" w:color="auto" w:sz="8" w:space="0"/>
            </w:tcBorders>
            <w:vAlign w:val="bottom"/>
          </w:tcPr>
          <w:p w14:paraId="0BBDD314">
            <w:pPr>
              <w:widowControl/>
              <w:jc w:val="center"/>
              <w:rPr>
                <w:rFonts w:ascii="华文细黑" w:hAnsi="华文细黑" w:eastAsia="华文细黑" w:cs="宋体"/>
                <w:b/>
                <w:bCs/>
                <w:kern w:val="0"/>
                <w:sz w:val="24"/>
              </w:rPr>
            </w:pPr>
            <w:r>
              <w:rPr>
                <w:rFonts w:hint="eastAsia" w:ascii="华文细黑" w:hAnsi="华文细黑" w:eastAsia="华文细黑" w:cs="宋体"/>
                <w:b/>
                <w:bCs/>
                <w:kern w:val="0"/>
                <w:sz w:val="24"/>
              </w:rPr>
              <w:t>补充说明</w:t>
            </w:r>
          </w:p>
        </w:tc>
      </w:tr>
      <w:tr w14:paraId="7A422C29">
        <w:tblPrEx>
          <w:tblCellMar>
            <w:top w:w="0" w:type="dxa"/>
            <w:left w:w="108" w:type="dxa"/>
            <w:bottom w:w="0" w:type="dxa"/>
            <w:right w:w="108" w:type="dxa"/>
          </w:tblCellMar>
        </w:tblPrEx>
        <w:trPr>
          <w:trHeight w:val="285" w:hRule="atLeast"/>
        </w:trPr>
        <w:tc>
          <w:tcPr>
            <w:tcW w:w="2387" w:type="dxa"/>
            <w:vMerge w:val="restart"/>
            <w:tcBorders>
              <w:top w:val="nil"/>
              <w:left w:val="single" w:color="auto" w:sz="8" w:space="0"/>
              <w:bottom w:val="single" w:color="000000" w:sz="8" w:space="0"/>
              <w:right w:val="single" w:color="auto" w:sz="8" w:space="0"/>
            </w:tcBorders>
            <w:vAlign w:val="bottom"/>
          </w:tcPr>
          <w:p w14:paraId="385B877A">
            <w:pPr>
              <w:widowControl/>
              <w:rPr>
                <w:rFonts w:ascii="华文细黑" w:hAnsi="华文细黑" w:eastAsia="华文细黑" w:cs="宋体"/>
                <w:kern w:val="0"/>
                <w:sz w:val="20"/>
                <w:szCs w:val="20"/>
              </w:rPr>
            </w:pPr>
            <w:r>
              <w:rPr>
                <w:rFonts w:hint="eastAsia" w:ascii="华文细黑" w:hAnsi="华文细黑" w:eastAsia="华文细黑" w:cs="宋体"/>
                <w:kern w:val="0"/>
                <w:sz w:val="20"/>
                <w:szCs w:val="20"/>
                <w:highlight w:val="none"/>
              </w:rPr>
              <w:t>（</w:t>
            </w:r>
            <w:r>
              <w:rPr>
                <w:rFonts w:hint="eastAsia" w:ascii="华文细黑" w:hAnsi="华文细黑" w:eastAsia="华文细黑" w:cs="宋体"/>
                <w:kern w:val="0"/>
                <w:sz w:val="20"/>
                <w:szCs w:val="20"/>
                <w:highlight w:val="none"/>
                <w:lang w:val="en-US" w:eastAsia="zh-CN"/>
              </w:rPr>
              <w:t>按本公告第四条第2款项目范围，逐条</w:t>
            </w:r>
            <w:r>
              <w:rPr>
                <w:rFonts w:hint="eastAsia" w:ascii="华文细黑" w:hAnsi="华文细黑" w:eastAsia="华文细黑" w:cs="宋体"/>
                <w:kern w:val="0"/>
                <w:sz w:val="20"/>
                <w:szCs w:val="20"/>
                <w:highlight w:val="none"/>
              </w:rPr>
              <w:t>填写相关服务条目</w:t>
            </w:r>
            <w:r>
              <w:rPr>
                <w:rFonts w:hint="eastAsia" w:ascii="华文细黑" w:hAnsi="华文细黑" w:eastAsia="华文细黑" w:cs="宋体"/>
                <w:kern w:val="0"/>
                <w:sz w:val="20"/>
                <w:szCs w:val="20"/>
                <w:highlight w:val="none"/>
                <w:lang w:val="en-US" w:eastAsia="zh-CN"/>
              </w:rPr>
              <w:t>报价，可续页</w:t>
            </w:r>
            <w:r>
              <w:rPr>
                <w:rFonts w:hint="eastAsia" w:ascii="华文细黑" w:hAnsi="华文细黑" w:eastAsia="华文细黑" w:cs="宋体"/>
                <w:kern w:val="0"/>
                <w:sz w:val="20"/>
                <w:szCs w:val="20"/>
                <w:highlight w:val="none"/>
              </w:rPr>
              <w:t>）</w:t>
            </w:r>
          </w:p>
        </w:tc>
        <w:tc>
          <w:tcPr>
            <w:tcW w:w="1916" w:type="dxa"/>
            <w:tcBorders>
              <w:top w:val="nil"/>
              <w:left w:val="nil"/>
              <w:bottom w:val="single" w:color="000000" w:sz="8" w:space="0"/>
              <w:right w:val="single" w:color="auto" w:sz="8" w:space="0"/>
            </w:tcBorders>
            <w:vAlign w:val="bottom"/>
          </w:tcPr>
          <w:p w14:paraId="3E17EF66">
            <w:pPr>
              <w:widowControl/>
              <w:jc w:val="left"/>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772" w:type="dxa"/>
            <w:tcBorders>
              <w:top w:val="nil"/>
              <w:left w:val="nil"/>
              <w:bottom w:val="single" w:color="000000" w:sz="8" w:space="0"/>
              <w:right w:val="single" w:color="auto" w:sz="8" w:space="0"/>
            </w:tcBorders>
            <w:vAlign w:val="bottom"/>
          </w:tcPr>
          <w:p w14:paraId="778CA149">
            <w:pPr>
              <w:widowControl/>
              <w:jc w:val="left"/>
              <w:rPr>
                <w:rFonts w:ascii="宋体" w:hAnsi="宋体" w:cs="宋体"/>
                <w:kern w:val="0"/>
                <w:szCs w:val="21"/>
              </w:rPr>
            </w:pPr>
            <w:r>
              <w:rPr>
                <w:rFonts w:hint="eastAsia" w:ascii="宋体" w:hAnsi="宋体" w:cs="宋体"/>
                <w:kern w:val="0"/>
                <w:szCs w:val="21"/>
              </w:rPr>
              <w:t>　</w:t>
            </w:r>
          </w:p>
        </w:tc>
        <w:tc>
          <w:tcPr>
            <w:tcW w:w="1657" w:type="dxa"/>
            <w:tcBorders>
              <w:top w:val="nil"/>
              <w:left w:val="nil"/>
              <w:bottom w:val="single" w:color="000000" w:sz="8" w:space="0"/>
              <w:right w:val="single" w:color="auto" w:sz="8" w:space="0"/>
            </w:tcBorders>
            <w:vAlign w:val="bottom"/>
          </w:tcPr>
          <w:p w14:paraId="211C7462">
            <w:pPr>
              <w:widowControl/>
              <w:jc w:val="left"/>
              <w:rPr>
                <w:rFonts w:ascii="宋体" w:hAnsi="宋体" w:cs="宋体"/>
                <w:kern w:val="0"/>
                <w:szCs w:val="21"/>
              </w:rPr>
            </w:pPr>
            <w:r>
              <w:rPr>
                <w:rFonts w:hint="eastAsia" w:ascii="宋体" w:hAnsi="宋体" w:cs="宋体"/>
                <w:kern w:val="0"/>
                <w:szCs w:val="21"/>
              </w:rPr>
              <w:t>　</w:t>
            </w:r>
          </w:p>
        </w:tc>
        <w:tc>
          <w:tcPr>
            <w:tcW w:w="860" w:type="dxa"/>
            <w:tcBorders>
              <w:top w:val="nil"/>
              <w:left w:val="nil"/>
              <w:bottom w:val="single" w:color="000000" w:sz="8" w:space="0"/>
              <w:right w:val="single" w:color="auto" w:sz="8" w:space="0"/>
            </w:tcBorders>
            <w:vAlign w:val="bottom"/>
          </w:tcPr>
          <w:p w14:paraId="79467802">
            <w:pPr>
              <w:widowControl/>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1260" w:type="dxa"/>
            <w:tcBorders>
              <w:top w:val="nil"/>
              <w:left w:val="nil"/>
              <w:bottom w:val="single" w:color="000000" w:sz="8" w:space="0"/>
              <w:right w:val="single" w:color="auto" w:sz="8" w:space="0"/>
            </w:tcBorders>
            <w:vAlign w:val="bottom"/>
          </w:tcPr>
          <w:p w14:paraId="3BBD7173">
            <w:pPr>
              <w:widowControl/>
              <w:jc w:val="left"/>
              <w:rPr>
                <w:rFonts w:ascii="宋体" w:hAnsi="宋体" w:cs="宋体"/>
                <w:kern w:val="0"/>
                <w:szCs w:val="21"/>
              </w:rPr>
            </w:pPr>
            <w:r>
              <w:rPr>
                <w:rFonts w:hint="eastAsia" w:ascii="宋体" w:hAnsi="宋体" w:cs="宋体"/>
                <w:kern w:val="0"/>
                <w:szCs w:val="21"/>
              </w:rPr>
              <w:t>　</w:t>
            </w:r>
          </w:p>
        </w:tc>
      </w:tr>
      <w:tr w14:paraId="7EE9E228">
        <w:tblPrEx>
          <w:tblCellMar>
            <w:top w:w="0" w:type="dxa"/>
            <w:left w:w="108" w:type="dxa"/>
            <w:bottom w:w="0" w:type="dxa"/>
            <w:right w:w="108" w:type="dxa"/>
          </w:tblCellMar>
        </w:tblPrEx>
        <w:trPr>
          <w:trHeight w:val="285" w:hRule="atLeast"/>
        </w:trPr>
        <w:tc>
          <w:tcPr>
            <w:tcW w:w="2387" w:type="dxa"/>
            <w:vMerge w:val="continue"/>
            <w:tcBorders>
              <w:top w:val="nil"/>
              <w:left w:val="single" w:color="auto" w:sz="8" w:space="0"/>
              <w:bottom w:val="single" w:color="000000" w:sz="8" w:space="0"/>
              <w:right w:val="single" w:color="auto" w:sz="8" w:space="0"/>
            </w:tcBorders>
            <w:vAlign w:val="center"/>
          </w:tcPr>
          <w:p w14:paraId="7B255752">
            <w:pPr>
              <w:widowControl/>
              <w:jc w:val="left"/>
              <w:rPr>
                <w:rFonts w:ascii="华文细黑" w:hAnsi="华文细黑" w:eastAsia="华文细黑" w:cs="宋体"/>
                <w:kern w:val="0"/>
                <w:sz w:val="20"/>
                <w:szCs w:val="20"/>
              </w:rPr>
            </w:pPr>
          </w:p>
        </w:tc>
        <w:tc>
          <w:tcPr>
            <w:tcW w:w="1916" w:type="dxa"/>
            <w:tcBorders>
              <w:top w:val="nil"/>
              <w:left w:val="nil"/>
              <w:bottom w:val="single" w:color="auto" w:sz="8" w:space="0"/>
              <w:right w:val="single" w:color="auto" w:sz="8" w:space="0"/>
            </w:tcBorders>
            <w:vAlign w:val="bottom"/>
          </w:tcPr>
          <w:p w14:paraId="2EA2ACA3">
            <w:pPr>
              <w:widowControl/>
              <w:jc w:val="left"/>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772" w:type="dxa"/>
            <w:tcBorders>
              <w:top w:val="nil"/>
              <w:left w:val="nil"/>
              <w:bottom w:val="single" w:color="auto" w:sz="8" w:space="0"/>
              <w:right w:val="single" w:color="auto" w:sz="8" w:space="0"/>
            </w:tcBorders>
            <w:vAlign w:val="bottom"/>
          </w:tcPr>
          <w:p w14:paraId="1FE23536">
            <w:pPr>
              <w:widowControl/>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1657" w:type="dxa"/>
            <w:tcBorders>
              <w:top w:val="nil"/>
              <w:left w:val="nil"/>
              <w:bottom w:val="single" w:color="auto" w:sz="8" w:space="0"/>
              <w:right w:val="single" w:color="auto" w:sz="8" w:space="0"/>
            </w:tcBorders>
            <w:vAlign w:val="bottom"/>
          </w:tcPr>
          <w:p w14:paraId="0BB4494C">
            <w:pPr>
              <w:widowControl/>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860" w:type="dxa"/>
            <w:tcBorders>
              <w:top w:val="nil"/>
              <w:left w:val="nil"/>
              <w:bottom w:val="single" w:color="auto" w:sz="8" w:space="0"/>
              <w:right w:val="single" w:color="auto" w:sz="8" w:space="0"/>
            </w:tcBorders>
            <w:vAlign w:val="bottom"/>
          </w:tcPr>
          <w:p w14:paraId="69A6E2A8">
            <w:pPr>
              <w:widowControl/>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1260" w:type="dxa"/>
            <w:tcBorders>
              <w:top w:val="nil"/>
              <w:left w:val="nil"/>
              <w:bottom w:val="single" w:color="auto" w:sz="8" w:space="0"/>
              <w:right w:val="single" w:color="auto" w:sz="8" w:space="0"/>
            </w:tcBorders>
            <w:vAlign w:val="bottom"/>
          </w:tcPr>
          <w:p w14:paraId="0EE887C0">
            <w:pPr>
              <w:widowControl/>
              <w:jc w:val="left"/>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r>
      <w:tr w14:paraId="19E3C51E">
        <w:tblPrEx>
          <w:tblCellMar>
            <w:top w:w="0" w:type="dxa"/>
            <w:left w:w="108" w:type="dxa"/>
            <w:bottom w:w="0" w:type="dxa"/>
            <w:right w:w="108" w:type="dxa"/>
          </w:tblCellMar>
        </w:tblPrEx>
        <w:trPr>
          <w:trHeight w:val="90" w:hRule="atLeast"/>
        </w:trPr>
        <w:tc>
          <w:tcPr>
            <w:tcW w:w="2387" w:type="dxa"/>
            <w:vMerge w:val="continue"/>
            <w:tcBorders>
              <w:top w:val="nil"/>
              <w:left w:val="single" w:color="auto" w:sz="8" w:space="0"/>
              <w:bottom w:val="single" w:color="000000" w:sz="8" w:space="0"/>
              <w:right w:val="single" w:color="auto" w:sz="8" w:space="0"/>
            </w:tcBorders>
            <w:vAlign w:val="center"/>
          </w:tcPr>
          <w:p w14:paraId="3F95DA7F">
            <w:pPr>
              <w:widowControl/>
              <w:jc w:val="left"/>
              <w:rPr>
                <w:rFonts w:ascii="华文细黑" w:hAnsi="华文细黑" w:eastAsia="华文细黑" w:cs="宋体"/>
                <w:kern w:val="0"/>
                <w:sz w:val="20"/>
                <w:szCs w:val="20"/>
              </w:rPr>
            </w:pPr>
          </w:p>
        </w:tc>
        <w:tc>
          <w:tcPr>
            <w:tcW w:w="1916" w:type="dxa"/>
            <w:tcBorders>
              <w:top w:val="nil"/>
              <w:left w:val="nil"/>
              <w:bottom w:val="single" w:color="auto" w:sz="8" w:space="0"/>
              <w:right w:val="single" w:color="auto" w:sz="8" w:space="0"/>
            </w:tcBorders>
            <w:vAlign w:val="bottom"/>
          </w:tcPr>
          <w:p w14:paraId="787F5C66">
            <w:pPr>
              <w:widowControl/>
              <w:jc w:val="left"/>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772" w:type="dxa"/>
            <w:tcBorders>
              <w:top w:val="nil"/>
              <w:left w:val="nil"/>
              <w:bottom w:val="single" w:color="auto" w:sz="8" w:space="0"/>
              <w:right w:val="single" w:color="auto" w:sz="8" w:space="0"/>
            </w:tcBorders>
            <w:vAlign w:val="bottom"/>
          </w:tcPr>
          <w:p w14:paraId="5FD7E5F2">
            <w:pPr>
              <w:widowControl/>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1657" w:type="dxa"/>
            <w:tcBorders>
              <w:top w:val="nil"/>
              <w:left w:val="nil"/>
              <w:bottom w:val="single" w:color="auto" w:sz="8" w:space="0"/>
              <w:right w:val="single" w:color="auto" w:sz="8" w:space="0"/>
            </w:tcBorders>
            <w:vAlign w:val="bottom"/>
          </w:tcPr>
          <w:p w14:paraId="3F22A684">
            <w:pPr>
              <w:widowControl/>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860" w:type="dxa"/>
            <w:tcBorders>
              <w:top w:val="nil"/>
              <w:left w:val="nil"/>
              <w:bottom w:val="single" w:color="auto" w:sz="8" w:space="0"/>
              <w:right w:val="single" w:color="auto" w:sz="8" w:space="0"/>
            </w:tcBorders>
            <w:vAlign w:val="bottom"/>
          </w:tcPr>
          <w:p w14:paraId="1E1F5D0F">
            <w:pPr>
              <w:widowControl/>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1260" w:type="dxa"/>
            <w:tcBorders>
              <w:top w:val="nil"/>
              <w:left w:val="nil"/>
              <w:bottom w:val="single" w:color="auto" w:sz="8" w:space="0"/>
              <w:right w:val="single" w:color="auto" w:sz="8" w:space="0"/>
            </w:tcBorders>
            <w:vAlign w:val="bottom"/>
          </w:tcPr>
          <w:p w14:paraId="0051CC59">
            <w:pPr>
              <w:widowControl/>
              <w:jc w:val="left"/>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r>
      <w:tr w14:paraId="761E980B">
        <w:tblPrEx>
          <w:tblCellMar>
            <w:top w:w="0" w:type="dxa"/>
            <w:left w:w="108" w:type="dxa"/>
            <w:bottom w:w="0" w:type="dxa"/>
            <w:right w:w="108" w:type="dxa"/>
          </w:tblCellMar>
        </w:tblPrEx>
        <w:trPr>
          <w:trHeight w:val="753" w:hRule="atLeast"/>
        </w:trPr>
        <w:tc>
          <w:tcPr>
            <w:tcW w:w="2387" w:type="dxa"/>
            <w:tcBorders>
              <w:top w:val="nil"/>
              <w:left w:val="single" w:color="auto" w:sz="8" w:space="0"/>
              <w:bottom w:val="single" w:color="auto" w:sz="8" w:space="0"/>
              <w:right w:val="single" w:color="auto" w:sz="8" w:space="0"/>
            </w:tcBorders>
            <w:vAlign w:val="bottom"/>
          </w:tcPr>
          <w:p w14:paraId="77BDE861">
            <w:pPr>
              <w:widowControl/>
              <w:jc w:val="center"/>
              <w:rPr>
                <w:rFonts w:ascii="华文细黑" w:hAnsi="华文细黑" w:eastAsia="华文细黑" w:cs="宋体"/>
                <w:kern w:val="0"/>
                <w:szCs w:val="21"/>
              </w:rPr>
            </w:pPr>
            <w:r>
              <w:rPr>
                <w:rFonts w:hint="eastAsia" w:ascii="华文细黑" w:hAnsi="华文细黑" w:eastAsia="华文细黑" w:cs="宋体"/>
                <w:kern w:val="0"/>
                <w:szCs w:val="21"/>
              </w:rPr>
              <w:t>厂家免费提供的其他服务</w:t>
            </w:r>
          </w:p>
        </w:tc>
        <w:tc>
          <w:tcPr>
            <w:tcW w:w="6465" w:type="dxa"/>
            <w:gridSpan w:val="5"/>
            <w:tcBorders>
              <w:top w:val="single" w:color="auto" w:sz="8" w:space="0"/>
              <w:left w:val="nil"/>
              <w:bottom w:val="single" w:color="auto" w:sz="8" w:space="0"/>
              <w:right w:val="single" w:color="000000" w:sz="8" w:space="0"/>
            </w:tcBorders>
            <w:vAlign w:val="bottom"/>
          </w:tcPr>
          <w:p w14:paraId="0260EEB2">
            <w:pPr>
              <w:widowControl/>
              <w:rPr>
                <w:rFonts w:ascii="华文细黑" w:hAnsi="华文细黑" w:eastAsia="华文细黑" w:cs="宋体"/>
                <w:b/>
                <w:bCs/>
                <w:kern w:val="0"/>
                <w:szCs w:val="21"/>
              </w:rPr>
            </w:pPr>
            <w:r>
              <w:rPr>
                <w:rFonts w:hint="eastAsia" w:ascii="华文细黑" w:hAnsi="华文细黑" w:eastAsia="华文细黑" w:cs="宋体"/>
                <w:b/>
                <w:bCs/>
                <w:kern w:val="0"/>
                <w:szCs w:val="21"/>
              </w:rPr>
              <w:t>　</w:t>
            </w:r>
          </w:p>
        </w:tc>
      </w:tr>
      <w:tr w14:paraId="3CB4FD6F">
        <w:tblPrEx>
          <w:tblCellMar>
            <w:top w:w="0" w:type="dxa"/>
            <w:left w:w="108" w:type="dxa"/>
            <w:bottom w:w="0" w:type="dxa"/>
            <w:right w:w="108" w:type="dxa"/>
          </w:tblCellMar>
        </w:tblPrEx>
        <w:trPr>
          <w:trHeight w:val="1501" w:hRule="atLeast"/>
        </w:trPr>
        <w:tc>
          <w:tcPr>
            <w:tcW w:w="2387" w:type="dxa"/>
            <w:tcBorders>
              <w:top w:val="nil"/>
              <w:left w:val="single" w:color="auto" w:sz="8" w:space="0"/>
              <w:bottom w:val="single" w:color="auto" w:sz="4" w:space="0"/>
              <w:right w:val="single" w:color="auto" w:sz="8" w:space="0"/>
            </w:tcBorders>
            <w:vAlign w:val="bottom"/>
          </w:tcPr>
          <w:p w14:paraId="2A207A17">
            <w:pPr>
              <w:widowControl/>
              <w:rPr>
                <w:rFonts w:ascii="华文细黑" w:hAnsi="华文细黑" w:eastAsia="华文细黑" w:cs="宋体"/>
                <w:b/>
                <w:bCs/>
                <w:kern w:val="0"/>
                <w:szCs w:val="21"/>
              </w:rPr>
            </w:pPr>
            <w:r>
              <w:rPr>
                <w:rFonts w:hint="eastAsia" w:ascii="华文细黑" w:hAnsi="华文细黑" w:eastAsia="华文细黑" w:cs="宋体"/>
                <w:b/>
                <w:bCs/>
                <w:kern w:val="0"/>
                <w:szCs w:val="21"/>
              </w:rPr>
              <w:t>项目总报价（</w:t>
            </w:r>
            <w:r>
              <w:rPr>
                <w:rFonts w:hint="eastAsia" w:ascii="华文细黑" w:hAnsi="华文细黑" w:eastAsia="华文细黑" w:cs="宋体"/>
                <w:kern w:val="0"/>
                <w:szCs w:val="21"/>
              </w:rPr>
              <w:t>含</w:t>
            </w:r>
            <w:r>
              <w:rPr>
                <w:rFonts w:hint="eastAsia" w:ascii="华文细黑" w:hAnsi="华文细黑" w:eastAsia="华文细黑" w:cs="宋体"/>
                <w:kern w:val="0"/>
                <w:szCs w:val="21"/>
                <w:lang w:eastAsia="zh-CN"/>
              </w:rPr>
              <w:t>参与竞价单位</w:t>
            </w:r>
            <w:r>
              <w:rPr>
                <w:rFonts w:hint="eastAsia" w:ascii="华文细黑" w:hAnsi="华文细黑" w:eastAsia="华文细黑" w:cs="宋体"/>
                <w:kern w:val="0"/>
                <w:szCs w:val="21"/>
              </w:rPr>
              <w:t>在</w:t>
            </w:r>
            <w:r>
              <w:rPr>
                <w:rFonts w:hint="eastAsia" w:ascii="华文细黑" w:hAnsi="华文细黑" w:eastAsia="华文细黑" w:cs="宋体"/>
                <w:kern w:val="0"/>
                <w:szCs w:val="21"/>
                <w:lang w:val="en-US" w:eastAsia="zh-CN"/>
              </w:rPr>
              <w:t>竞价公告</w:t>
            </w:r>
            <w:r>
              <w:rPr>
                <w:rFonts w:hint="eastAsia" w:ascii="华文细黑" w:hAnsi="华文细黑" w:eastAsia="华文细黑" w:cs="宋体"/>
                <w:kern w:val="0"/>
                <w:szCs w:val="21"/>
              </w:rPr>
              <w:t>项下的一切设备和服务的</w:t>
            </w:r>
            <w:r>
              <w:rPr>
                <w:rFonts w:hint="eastAsia" w:ascii="华文细黑" w:hAnsi="华文细黑" w:eastAsia="华文细黑" w:cs="宋体"/>
                <w:kern w:val="0"/>
                <w:szCs w:val="21"/>
                <w:lang w:val="en-US" w:eastAsia="zh-CN"/>
              </w:rPr>
              <w:t>含税</w:t>
            </w:r>
            <w:r>
              <w:rPr>
                <w:rFonts w:hint="eastAsia" w:ascii="华文细黑" w:hAnsi="华文细黑" w:eastAsia="华文细黑" w:cs="宋体"/>
                <w:kern w:val="0"/>
                <w:szCs w:val="21"/>
              </w:rPr>
              <w:t>价款）</w:t>
            </w:r>
          </w:p>
        </w:tc>
        <w:tc>
          <w:tcPr>
            <w:tcW w:w="6465" w:type="dxa"/>
            <w:gridSpan w:val="5"/>
            <w:tcBorders>
              <w:top w:val="single" w:color="auto" w:sz="8" w:space="0"/>
              <w:left w:val="nil"/>
              <w:bottom w:val="single" w:color="auto" w:sz="8" w:space="0"/>
              <w:right w:val="single" w:color="000000" w:sz="8" w:space="0"/>
            </w:tcBorders>
            <w:vAlign w:val="bottom"/>
          </w:tcPr>
          <w:p w14:paraId="725F25B9">
            <w:pPr>
              <w:widowControl/>
              <w:rPr>
                <w:rFonts w:ascii="华文细黑" w:hAnsi="华文细黑" w:eastAsia="华文细黑" w:cs="宋体"/>
                <w:b/>
                <w:bCs/>
                <w:kern w:val="0"/>
                <w:szCs w:val="21"/>
              </w:rPr>
            </w:pPr>
            <w:r>
              <w:rPr>
                <w:rFonts w:hint="eastAsia" w:ascii="华文细黑" w:hAnsi="华文细黑" w:eastAsia="华文细黑" w:cs="宋体"/>
                <w:b/>
                <w:bCs/>
                <w:kern w:val="0"/>
                <w:szCs w:val="21"/>
              </w:rPr>
              <w:t>大写：人民币</w:t>
            </w:r>
            <w:r>
              <w:rPr>
                <w:rFonts w:hint="eastAsia" w:ascii="华文细黑" w:hAnsi="华文细黑" w:eastAsia="华文细黑" w:cs="宋体"/>
                <w:b/>
                <w:bCs/>
                <w:kern w:val="0"/>
                <w:szCs w:val="21"/>
                <w:u w:val="single"/>
              </w:rPr>
              <w:t xml:space="preserve">                      </w:t>
            </w:r>
            <w:r>
              <w:rPr>
                <w:rFonts w:hint="eastAsia" w:ascii="华文细黑" w:hAnsi="华文细黑" w:eastAsia="华文细黑" w:cs="宋体"/>
                <w:b/>
                <w:bCs/>
                <w:kern w:val="0"/>
                <w:szCs w:val="21"/>
              </w:rPr>
              <w:t>（小写￥</w:t>
            </w:r>
            <w:r>
              <w:rPr>
                <w:rFonts w:hint="eastAsia" w:ascii="华文细黑" w:hAnsi="华文细黑" w:eastAsia="华文细黑" w:cs="宋体"/>
                <w:b/>
                <w:bCs/>
                <w:kern w:val="0"/>
                <w:szCs w:val="21"/>
                <w:u w:val="single"/>
              </w:rPr>
              <w:t xml:space="preserve">           </w:t>
            </w:r>
            <w:r>
              <w:rPr>
                <w:rFonts w:hint="eastAsia" w:ascii="华文细黑" w:hAnsi="华文细黑" w:eastAsia="华文细黑" w:cs="宋体"/>
                <w:b/>
                <w:bCs/>
                <w:kern w:val="0"/>
                <w:szCs w:val="21"/>
              </w:rPr>
              <w:t xml:space="preserve"> ）</w:t>
            </w:r>
          </w:p>
        </w:tc>
      </w:tr>
      <w:tr w14:paraId="6A39983F">
        <w:tblPrEx>
          <w:tblCellMar>
            <w:top w:w="0" w:type="dxa"/>
            <w:left w:w="108" w:type="dxa"/>
            <w:bottom w:w="0" w:type="dxa"/>
            <w:right w:w="108" w:type="dxa"/>
          </w:tblCellMar>
        </w:tblPrEx>
        <w:trPr>
          <w:trHeight w:val="1473" w:hRule="atLeast"/>
        </w:trPr>
        <w:tc>
          <w:tcPr>
            <w:tcW w:w="2387" w:type="dxa"/>
            <w:tcBorders>
              <w:top w:val="single" w:color="auto" w:sz="4" w:space="0"/>
              <w:left w:val="single" w:color="auto" w:sz="8" w:space="0"/>
              <w:bottom w:val="single" w:color="auto" w:sz="8" w:space="0"/>
              <w:right w:val="single" w:color="auto" w:sz="8" w:space="0"/>
            </w:tcBorders>
            <w:vAlign w:val="bottom"/>
          </w:tcPr>
          <w:p w14:paraId="2FA55FB2">
            <w:pPr>
              <w:widowControl/>
              <w:rPr>
                <w:rFonts w:hint="default" w:ascii="华文细黑" w:hAnsi="华文细黑" w:eastAsia="华文细黑" w:cs="宋体"/>
                <w:b/>
                <w:bCs/>
                <w:kern w:val="0"/>
                <w:szCs w:val="21"/>
                <w:lang w:val="en-US" w:eastAsia="zh-CN"/>
              </w:rPr>
            </w:pPr>
            <w:r>
              <w:rPr>
                <w:rFonts w:hint="eastAsia" w:ascii="华文细黑" w:hAnsi="华文细黑" w:eastAsia="华文细黑" w:cs="宋体"/>
                <w:b/>
                <w:bCs/>
                <w:kern w:val="0"/>
                <w:szCs w:val="21"/>
                <w:lang w:val="en-US" w:eastAsia="zh-CN"/>
              </w:rPr>
              <w:t>系统后续的维保费用</w:t>
            </w:r>
          </w:p>
        </w:tc>
        <w:tc>
          <w:tcPr>
            <w:tcW w:w="6465" w:type="dxa"/>
            <w:gridSpan w:val="5"/>
            <w:tcBorders>
              <w:top w:val="single" w:color="auto" w:sz="8" w:space="0"/>
              <w:left w:val="nil"/>
              <w:bottom w:val="single" w:color="auto" w:sz="8" w:space="0"/>
              <w:right w:val="single" w:color="000000" w:sz="8" w:space="0"/>
            </w:tcBorders>
            <w:vAlign w:val="bottom"/>
          </w:tcPr>
          <w:p w14:paraId="47BDCD19">
            <w:pPr>
              <w:widowControl/>
              <w:rPr>
                <w:rFonts w:hint="default" w:ascii="华文细黑" w:hAnsi="华文细黑" w:eastAsia="华文细黑" w:cs="宋体"/>
                <w:b/>
                <w:bCs/>
                <w:kern w:val="0"/>
                <w:szCs w:val="21"/>
                <w:lang w:val="en-US" w:eastAsia="zh-CN"/>
              </w:rPr>
            </w:pPr>
            <w:r>
              <w:rPr>
                <w:rFonts w:hint="eastAsia" w:ascii="华文细黑" w:hAnsi="华文细黑" w:eastAsia="华文细黑" w:cs="宋体"/>
                <w:b/>
                <w:bCs/>
                <w:kern w:val="0"/>
                <w:szCs w:val="21"/>
                <w:lang w:val="en-US" w:eastAsia="zh-CN"/>
              </w:rPr>
              <w:t>维保费用首年人民币    ；后续每年人民币  元（或者按照系统总价的 %）</w:t>
            </w:r>
          </w:p>
        </w:tc>
      </w:tr>
    </w:tbl>
    <w:p w14:paraId="2E0997D3">
      <w:pPr>
        <w:pStyle w:val="7"/>
        <w:adjustRightInd w:val="0"/>
        <w:snapToGrid w:val="0"/>
        <w:spacing w:before="0" w:beforeAutospacing="0" w:after="0" w:afterAutospacing="0" w:line="0" w:lineRule="atLeast"/>
        <w:rPr>
          <w:rFonts w:hint="eastAsia" w:ascii="华文细黑" w:hAnsi="华文细黑" w:eastAsia="华文细黑"/>
          <w:sz w:val="21"/>
          <w:szCs w:val="21"/>
        </w:rPr>
      </w:pPr>
      <w:r>
        <w:rPr>
          <w:rFonts w:hint="eastAsia" w:ascii="华文细黑" w:hAnsi="华文细黑" w:eastAsia="华文细黑"/>
          <w:sz w:val="21"/>
          <w:szCs w:val="21"/>
        </w:rPr>
        <w:t>本公司已阅读并完全理解</w:t>
      </w:r>
      <w:r>
        <w:rPr>
          <w:rFonts w:hint="eastAsia" w:ascii="华文细黑" w:hAnsi="华文细黑" w:eastAsia="华文细黑"/>
          <w:sz w:val="21"/>
          <w:szCs w:val="21"/>
          <w:lang w:eastAsia="zh-CN"/>
        </w:rPr>
        <w:t>参与竞价单位</w:t>
      </w:r>
      <w:r>
        <w:rPr>
          <w:rFonts w:hint="eastAsia" w:ascii="华文细黑" w:hAnsi="华文细黑" w:eastAsia="华文细黑"/>
          <w:sz w:val="21"/>
          <w:szCs w:val="21"/>
          <w:lang w:val="en-US" w:eastAsia="zh-CN"/>
        </w:rPr>
        <w:t>竞价公告</w:t>
      </w:r>
      <w:r>
        <w:rPr>
          <w:rFonts w:hint="eastAsia" w:ascii="华文细黑" w:hAnsi="华文细黑" w:eastAsia="华文细黑"/>
          <w:sz w:val="21"/>
          <w:szCs w:val="21"/>
        </w:rPr>
        <w:t>的全部内容，本公司承诺对</w:t>
      </w:r>
      <w:r>
        <w:rPr>
          <w:rFonts w:hint="eastAsia" w:ascii="华文细黑" w:hAnsi="华文细黑" w:eastAsia="华文细黑"/>
          <w:sz w:val="21"/>
          <w:szCs w:val="21"/>
          <w:lang w:val="en-US" w:eastAsia="zh-CN"/>
        </w:rPr>
        <w:t>项目采购需求、服务要求、项目周期、资格要求</w:t>
      </w:r>
      <w:r>
        <w:rPr>
          <w:rFonts w:hint="eastAsia" w:ascii="华文细黑" w:hAnsi="华文细黑" w:eastAsia="华文细黑"/>
          <w:sz w:val="21"/>
          <w:szCs w:val="21"/>
        </w:rPr>
        <w:t>以及特别</w:t>
      </w:r>
      <w:r>
        <w:rPr>
          <w:rFonts w:hint="eastAsia" w:ascii="华文细黑" w:hAnsi="华文细黑" w:eastAsia="华文细黑"/>
          <w:sz w:val="21"/>
          <w:szCs w:val="21"/>
          <w:lang w:val="en-US" w:eastAsia="zh-CN"/>
        </w:rPr>
        <w:t>说明</w:t>
      </w:r>
      <w:r>
        <w:rPr>
          <w:rFonts w:hint="eastAsia" w:ascii="华文细黑" w:hAnsi="华文细黑" w:eastAsia="华文细黑"/>
          <w:sz w:val="21"/>
          <w:szCs w:val="21"/>
        </w:rPr>
        <w:t>中的所有要求均能满足。本公司确认以上内容情况属实。</w:t>
      </w:r>
    </w:p>
    <w:p w14:paraId="75A15C2C">
      <w:pPr>
        <w:pStyle w:val="7"/>
        <w:adjustRightInd w:val="0"/>
        <w:snapToGrid w:val="0"/>
        <w:spacing w:before="0" w:beforeAutospacing="0" w:after="0" w:afterAutospacing="0" w:line="0" w:lineRule="atLeast"/>
        <w:ind w:firstLine="420"/>
        <w:rPr>
          <w:rFonts w:hint="eastAsia" w:ascii="华文细黑" w:hAnsi="华文细黑" w:eastAsia="华文细黑"/>
          <w:sz w:val="21"/>
          <w:szCs w:val="21"/>
        </w:rPr>
      </w:pPr>
    </w:p>
    <w:p w14:paraId="1D91D609">
      <w:pPr>
        <w:spacing w:line="0" w:lineRule="atLeast"/>
        <w:ind w:left="417"/>
        <w:rPr>
          <w:rFonts w:hint="eastAsia" w:ascii="华文细黑" w:hAnsi="华文细黑" w:eastAsia="华文细黑"/>
          <w:b/>
          <w:szCs w:val="21"/>
        </w:rPr>
      </w:pPr>
      <w:r>
        <w:rPr>
          <w:rFonts w:hint="eastAsia" w:ascii="华文细黑" w:hAnsi="华文细黑" w:eastAsia="华文细黑"/>
          <w:b/>
          <w:szCs w:val="21"/>
        </w:rPr>
        <w:t>授权代表签字：</w:t>
      </w:r>
      <w:r>
        <w:rPr>
          <w:rFonts w:hint="eastAsia" w:ascii="华文细黑" w:hAnsi="华文细黑" w:eastAsia="华文细黑"/>
          <w:b/>
          <w:szCs w:val="21"/>
          <w:u w:val="single"/>
        </w:rPr>
        <w:t xml:space="preserve">               </w:t>
      </w:r>
      <w:r>
        <w:rPr>
          <w:rFonts w:hint="eastAsia" w:ascii="华文细黑" w:hAnsi="华文细黑" w:eastAsia="华文细黑"/>
          <w:b/>
          <w:szCs w:val="21"/>
        </w:rPr>
        <w:t xml:space="preserve">   单位（盖章）    年   月   日</w:t>
      </w:r>
    </w:p>
    <w:p w14:paraId="3767F7DF"/>
    <w:sectPr>
      <w:headerReference r:id="rId3" w:type="default"/>
      <w:footerReference r:id="rId4"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0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8B8F4">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15</w:t>
    </w:r>
    <w:r>
      <w:fldChar w:fldCharType="end"/>
    </w:r>
  </w:p>
  <w:p w14:paraId="09BFAC13">
    <w:pPr>
      <w:pStyle w:val="5"/>
      <w:jc w:val="center"/>
      <w:rPr>
        <w:rFonts w:ascii="Arial" w:hAnsi="Arial" w:cs="Arial"/>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D42A0">
    <w:pPr>
      <w:pStyle w:val="6"/>
    </w:pPr>
    <w:r>
      <w:rPr>
        <w:rFonts w:hint="eastAsia"/>
      </w:rPr>
      <w:t>太平洋安信农业保险股份有限公司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suff w:val="space"/>
      <w:lvlText w:val="%1."/>
      <w:lvlJc w:val="left"/>
      <w:pPr>
        <w:ind w:left="-62" w:firstLine="522"/>
      </w:pPr>
      <w:rPr>
        <w:rFonts w:hint="default"/>
      </w:r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yMmViOTI3ZDRhZDg5MGFhNjlmNzY2YmNlZmEwZjkifQ=="/>
  </w:docVars>
  <w:rsids>
    <w:rsidRoot w:val="00000000"/>
    <w:rsid w:val="0C3E54E5"/>
    <w:rsid w:val="2CD17019"/>
    <w:rsid w:val="364A6DFC"/>
    <w:rsid w:val="3F542A99"/>
    <w:rsid w:val="75596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0" w:after="120" w:line="240" w:lineRule="auto"/>
      <w:ind w:left="420" w:leftChars="200" w:firstLine="420" w:firstLineChars="200"/>
    </w:pPr>
    <w:rPr>
      <w:rFonts w:ascii="Times New Roman"/>
      <w:sz w:val="21"/>
      <w:szCs w:val="24"/>
    </w:rPr>
  </w:style>
  <w:style w:type="paragraph" w:styleId="3">
    <w:name w:val="Body Text Indent"/>
    <w:basedOn w:val="1"/>
    <w:qFormat/>
    <w:uiPriority w:val="0"/>
    <w:pPr>
      <w:spacing w:before="240" w:line="400" w:lineRule="exact"/>
      <w:ind w:firstLine="505"/>
    </w:pPr>
    <w:rPr>
      <w:rFonts w:ascii="宋体"/>
      <w:sz w:val="24"/>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kern w:val="0"/>
      <w:sz w:val="24"/>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4741</Words>
  <Characters>4921</Characters>
  <Paragraphs>215</Paragraphs>
  <TotalTime>26</TotalTime>
  <ScaleCrop>false</ScaleCrop>
  <LinksUpToDate>false</LinksUpToDate>
  <CharactersWithSpaces>5231</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2024-07-04T10:44:00Z</dcterms:created>
  <dc:creator>lizhiyuan-007</dc:creator>
  <cp:lastModifiedBy>牛吃草儿</cp:lastModifiedBy>
  <dcterms:modified xsi:type="dcterms:W3CDTF">2024-07-10T08:30:09Z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c3d7ed13870c434fa84f5502296ab849_23</vt:lpwstr>
  </property>
</Properties>
</file>