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rPr>
        <w:t>太平洋安信农业保险股份有限公司</w:t>
      </w:r>
    </w:p>
    <w:p>
      <w:pPr>
        <w:spacing w:line="700" w:lineRule="exact"/>
        <w:ind w:firstLine="57"/>
        <w:jc w:val="center"/>
        <w:rPr>
          <w:rFonts w:hint="eastAsia" w:ascii="黑体" w:hAnsi="黑体" w:eastAsia="黑体" w:cs="黑体"/>
          <w:b/>
          <w:bCs/>
          <w:sz w:val="32"/>
          <w:szCs w:val="32"/>
          <w:lang w:eastAsia="zh-CN"/>
        </w:rPr>
      </w:pPr>
      <w:r>
        <w:rPr>
          <w:rFonts w:hint="eastAsia" w:ascii="黑体" w:hAnsi="黑体" w:eastAsia="黑体" w:cs="黑体"/>
          <w:b/>
          <w:bCs/>
          <w:sz w:val="32"/>
          <w:szCs w:val="32"/>
        </w:rPr>
        <w:t>地图平台项目</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重新</w:t>
      </w:r>
      <w:r>
        <w:rPr>
          <w:rFonts w:hint="eastAsia" w:ascii="黑体" w:hAnsi="黑体" w:eastAsia="黑体" w:cs="黑体"/>
          <w:b/>
          <w:bCs/>
          <w:sz w:val="32"/>
          <w:szCs w:val="32"/>
          <w:lang w:eastAsia="zh-CN"/>
        </w:rPr>
        <w:t>）</w:t>
      </w:r>
    </w:p>
    <w:p>
      <w:pPr>
        <w:spacing w:line="700" w:lineRule="exact"/>
        <w:ind w:firstLine="57"/>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公开</w:t>
      </w:r>
      <w:r>
        <w:rPr>
          <w:rFonts w:hint="eastAsia" w:ascii="黑体" w:hAnsi="黑体" w:eastAsia="黑体" w:cs="黑体"/>
          <w:b/>
          <w:bCs/>
          <w:sz w:val="32"/>
          <w:szCs w:val="32"/>
        </w:rPr>
        <w:t>竞价公告</w:t>
      </w:r>
    </w:p>
    <w:p>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太平洋安信农业保险股份有限公司（以下简称“太安农险”）现邀请合格的供应商参与本项目的采购竞价，太安农险偿付能力符合监管规定,具体可在太安农险官网查询</w:t>
      </w:r>
      <w:r>
        <w:rPr>
          <w:rFonts w:hint="eastAsia" w:ascii="仿宋" w:hAnsi="仿宋" w:eastAsia="仿宋" w:cs="Times New Roman"/>
          <w:sz w:val="24"/>
          <w:szCs w:val="28"/>
          <w:lang w:val="en-US" w:eastAsia="zh-CN"/>
        </w:rPr>
        <w:fldChar w:fldCharType="begin"/>
      </w:r>
      <w:r>
        <w:rPr>
          <w:rFonts w:hint="eastAsia" w:ascii="仿宋" w:hAnsi="仿宋" w:eastAsia="仿宋" w:cs="Times New Roman"/>
          <w:sz w:val="24"/>
          <w:szCs w:val="28"/>
          <w:lang w:val="en-US" w:eastAsia="zh-CN"/>
        </w:rPr>
        <w:instrText xml:space="preserve"> HYPERLINK "http://www.aaic.com.cn/" </w:instrText>
      </w:r>
      <w:r>
        <w:rPr>
          <w:rFonts w:hint="eastAsia" w:ascii="仿宋" w:hAnsi="仿宋" w:eastAsia="仿宋" w:cs="Times New Roman"/>
          <w:sz w:val="24"/>
          <w:szCs w:val="28"/>
          <w:lang w:val="en-US" w:eastAsia="zh-CN"/>
        </w:rPr>
        <w:fldChar w:fldCharType="separate"/>
      </w:r>
      <w:r>
        <w:rPr>
          <w:rFonts w:hint="eastAsia" w:ascii="仿宋" w:hAnsi="仿宋" w:eastAsia="仿宋" w:cs="Times New Roman"/>
          <w:sz w:val="24"/>
          <w:szCs w:val="28"/>
          <w:lang w:val="en-US" w:eastAsia="zh-CN"/>
        </w:rPr>
        <w:t>www.aaic.com.cn</w:t>
      </w:r>
      <w:r>
        <w:rPr>
          <w:rFonts w:hint="eastAsia" w:ascii="仿宋" w:hAnsi="仿宋" w:eastAsia="仿宋" w:cs="Times New Roman"/>
          <w:sz w:val="24"/>
          <w:szCs w:val="28"/>
          <w:lang w:val="en-US" w:eastAsia="zh-CN"/>
        </w:rPr>
        <w:fldChar w:fldCharType="end"/>
      </w:r>
      <w:r>
        <w:rPr>
          <w:rFonts w:hint="eastAsia" w:ascii="仿宋" w:hAnsi="仿宋" w:eastAsia="仿宋" w:cs="Times New Roman"/>
          <w:sz w:val="24"/>
          <w:szCs w:val="28"/>
          <w:lang w:val="en-US" w:eastAsia="zh-CN"/>
        </w:rPr>
        <w:t>，太安农险将择优选定中选人，欢迎符合资格要求的供应商踊跃参与，现将有关事项公告如下。</w:t>
      </w:r>
    </w:p>
    <w:p>
      <w:pPr>
        <w:numPr>
          <w:ilvl w:val="0"/>
          <w:numId w:val="1"/>
        </w:numPr>
        <w:spacing w:line="360" w:lineRule="auto"/>
        <w:ind w:firstLine="472" w:firstLineChars="196"/>
        <w:outlineLvl w:val="0"/>
        <w:rPr>
          <w:rFonts w:hint="eastAsia" w:ascii="黑体" w:hAnsi="黑体" w:eastAsia="黑体" w:cs="黑体"/>
          <w:b/>
          <w:sz w:val="24"/>
        </w:rPr>
      </w:pPr>
      <w:r>
        <w:rPr>
          <w:rFonts w:hint="eastAsia" w:ascii="黑体" w:hAnsi="黑体" w:eastAsia="黑体" w:cs="黑体"/>
          <w:b/>
          <w:sz w:val="24"/>
          <w:lang w:val="en-US" w:eastAsia="zh-CN"/>
        </w:rPr>
        <w:t>采购</w:t>
      </w:r>
      <w:r>
        <w:rPr>
          <w:rFonts w:hint="eastAsia" w:ascii="黑体" w:hAnsi="黑体" w:eastAsia="黑体" w:cs="黑体"/>
          <w:b/>
          <w:sz w:val="24"/>
        </w:rPr>
        <w:t>单位：</w:t>
      </w:r>
      <w:r>
        <w:rPr>
          <w:rFonts w:hint="eastAsia" w:ascii="仿宋" w:hAnsi="仿宋" w:eastAsia="仿宋" w:cs="Times New Roman"/>
          <w:sz w:val="24"/>
          <w:szCs w:val="28"/>
          <w:lang w:val="en-US" w:eastAsia="zh-CN"/>
        </w:rPr>
        <w:t>太平洋安信农业保险股份有限公司</w:t>
      </w:r>
    </w:p>
    <w:p>
      <w:pPr>
        <w:numPr>
          <w:ilvl w:val="0"/>
          <w:numId w:val="1"/>
        </w:numPr>
        <w:spacing w:line="360" w:lineRule="auto"/>
        <w:ind w:firstLine="472" w:firstLineChars="196"/>
        <w:outlineLvl w:val="0"/>
        <w:rPr>
          <w:rFonts w:hint="eastAsia" w:ascii="黑体" w:hAnsi="黑体" w:eastAsia="黑体" w:cs="黑体"/>
          <w:b/>
          <w:sz w:val="24"/>
        </w:rPr>
      </w:pPr>
      <w:r>
        <w:rPr>
          <w:rFonts w:hint="eastAsia" w:ascii="黑体" w:hAnsi="黑体" w:eastAsia="黑体" w:cs="黑体"/>
          <w:b/>
          <w:sz w:val="24"/>
          <w:lang w:val="en-US" w:eastAsia="zh-CN"/>
        </w:rPr>
        <w:t>单位</w:t>
      </w:r>
      <w:r>
        <w:rPr>
          <w:rFonts w:hint="eastAsia" w:ascii="黑体" w:hAnsi="黑体" w:eastAsia="黑体" w:cs="黑体"/>
          <w:b/>
          <w:sz w:val="24"/>
        </w:rPr>
        <w:t>地址：</w:t>
      </w:r>
      <w:r>
        <w:rPr>
          <w:rFonts w:hint="eastAsia" w:ascii="仿宋" w:hAnsi="仿宋" w:eastAsia="仿宋" w:cs="Times New Roman"/>
          <w:sz w:val="24"/>
          <w:szCs w:val="28"/>
          <w:lang w:val="en-US" w:eastAsia="zh-CN"/>
        </w:rPr>
        <w:t>上海市静安区共和新路3651号农保大厦</w:t>
      </w:r>
    </w:p>
    <w:p>
      <w:pPr>
        <w:numPr>
          <w:ilvl w:val="0"/>
          <w:numId w:val="1"/>
        </w:numPr>
        <w:spacing w:line="360" w:lineRule="auto"/>
        <w:ind w:firstLine="472" w:firstLineChars="196"/>
        <w:outlineLvl w:val="0"/>
        <w:rPr>
          <w:rFonts w:hint="default" w:ascii="黑体" w:hAnsi="黑体" w:eastAsia="黑体" w:cs="黑体"/>
          <w:b/>
          <w:sz w:val="24"/>
          <w:lang w:val="en-US" w:eastAsia="zh-CN"/>
        </w:rPr>
      </w:pPr>
      <w:r>
        <w:rPr>
          <w:rFonts w:hint="eastAsia" w:ascii="黑体" w:hAnsi="黑体" w:eastAsia="黑体" w:cs="黑体"/>
          <w:b/>
          <w:sz w:val="24"/>
          <w:lang w:val="en-US" w:eastAsia="zh-CN"/>
        </w:rPr>
        <w:t>采购项目名称：</w:t>
      </w:r>
      <w:r>
        <w:rPr>
          <w:rFonts w:hint="eastAsia" w:ascii="仿宋" w:hAnsi="仿宋" w:eastAsia="仿宋" w:cs="Times New Roman"/>
          <w:sz w:val="24"/>
          <w:szCs w:val="28"/>
          <w:lang w:val="en-US" w:eastAsia="zh-CN"/>
        </w:rPr>
        <w:t>太安农险地图平台项目（重新）</w:t>
      </w:r>
    </w:p>
    <w:p>
      <w:pPr>
        <w:numPr>
          <w:ilvl w:val="0"/>
          <w:numId w:val="1"/>
        </w:numPr>
        <w:spacing w:line="360" w:lineRule="auto"/>
        <w:ind w:firstLine="472" w:firstLineChars="196"/>
        <w:outlineLvl w:val="0"/>
        <w:rPr>
          <w:rFonts w:hint="default" w:ascii="黑体" w:hAnsi="黑体" w:eastAsia="黑体" w:cs="黑体"/>
          <w:b/>
          <w:sz w:val="24"/>
          <w:lang w:val="en-US" w:eastAsia="zh-CN"/>
        </w:rPr>
      </w:pPr>
      <w:r>
        <w:rPr>
          <w:rFonts w:hint="eastAsia" w:ascii="黑体" w:hAnsi="黑体" w:eastAsia="黑体" w:cs="黑体"/>
          <w:b/>
          <w:sz w:val="24"/>
          <w:lang w:val="en-US" w:eastAsia="zh-CN"/>
        </w:rPr>
        <w:t>最高限价：</w:t>
      </w:r>
      <w:r>
        <w:rPr>
          <w:rFonts w:hint="eastAsia" w:ascii="仿宋" w:hAnsi="仿宋" w:eastAsia="仿宋" w:cs="仿宋"/>
          <w:b w:val="0"/>
          <w:bCs/>
          <w:sz w:val="24"/>
          <w:lang w:val="en-US" w:eastAsia="zh-CN"/>
        </w:rPr>
        <w:t>85万元整</w:t>
      </w:r>
    </w:p>
    <w:p>
      <w:pPr>
        <w:numPr>
          <w:ilvl w:val="0"/>
          <w:numId w:val="1"/>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采购需求</w:t>
      </w:r>
    </w:p>
    <w:p>
      <w:pPr>
        <w:numPr>
          <w:ilvl w:val="0"/>
          <w:numId w:val="2"/>
        </w:numPr>
        <w:spacing w:line="360" w:lineRule="auto"/>
        <w:ind w:firstLine="482"/>
        <w:outlineLvl w:val="0"/>
        <w:rPr>
          <w:rFonts w:ascii="黑体" w:hAnsi="黑体" w:eastAsia="黑体" w:cs="黑体"/>
          <w:b/>
          <w:sz w:val="24"/>
        </w:rPr>
      </w:pPr>
      <w:r>
        <w:rPr>
          <w:rFonts w:hint="eastAsia" w:ascii="黑体" w:hAnsi="黑体" w:eastAsia="黑体" w:cs="黑体"/>
          <w:b/>
          <w:sz w:val="24"/>
        </w:rPr>
        <w:t>项目目标</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业务上，依托通用底图建设太安农险地图平台，建设统一的地图标准及规范化接口，开发农险业务地图操作工具及地块管理功能，提供地图引擎。新建平台将为公司新建的业务系统，为开展基于地图地理信息的承保、理赔、品控及各项经营管理活动提供基础支撑。技术上，以实现地图、地块、业务管理数据融合与整合应用为目标，供应各个业务层面接口化的地图应用及数据分析，提升我司业务的精细化水平，及地理信息技术应用的通用化和便捷度。</w:t>
      </w:r>
    </w:p>
    <w:p>
      <w:pPr>
        <w:numPr>
          <w:ilvl w:val="0"/>
          <w:numId w:val="2"/>
        </w:numPr>
        <w:spacing w:line="360" w:lineRule="auto"/>
        <w:outlineLvl w:val="0"/>
        <w:rPr>
          <w:rFonts w:ascii="黑体" w:hAnsi="黑体" w:eastAsia="黑体" w:cs="黑体"/>
          <w:b/>
          <w:sz w:val="24"/>
        </w:rPr>
      </w:pPr>
      <w:r>
        <w:rPr>
          <w:rFonts w:hint="eastAsia" w:ascii="黑体" w:hAnsi="黑体" w:eastAsia="黑体" w:cs="黑体"/>
          <w:b/>
          <w:sz w:val="24"/>
          <w:lang w:val="en-US" w:eastAsia="zh-CN"/>
        </w:rPr>
        <w:t>项目范围</w:t>
      </w:r>
    </w:p>
    <w:p>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建设成型的地图平台，接口化及组件化供应给业务系统使用，坐标标准进行统一化定义,提供多种地图操作工具。平台需满足太保集团信创要求，相关技术栈和中间件使用国产化方案。业务上打通与核心业务系统、农险APP的流程及数据交互，同时接入政府相关农业数据作为地图平台的基础地块数据。</w:t>
      </w:r>
    </w:p>
    <w:p>
      <w:pPr>
        <w:spacing w:line="360" w:lineRule="auto"/>
        <w:ind w:firstLine="480" w:firstLineChars="200"/>
        <w:rPr>
          <w:rFonts w:hint="default" w:ascii="仿宋" w:hAnsi="仿宋" w:eastAsia="仿宋" w:cs="Times New Roman"/>
          <w:sz w:val="24"/>
          <w:szCs w:val="28"/>
          <w:lang w:val="en-US" w:eastAsia="zh-CN"/>
        </w:rPr>
      </w:pPr>
      <w:r>
        <w:rPr>
          <w:rFonts w:hint="default" w:ascii="仿宋" w:hAnsi="仿宋" w:eastAsia="仿宋" w:cs="Times New Roman"/>
          <w:sz w:val="24"/>
          <w:szCs w:val="28"/>
          <w:lang w:val="en-US" w:eastAsia="zh-CN"/>
        </w:rPr>
        <w:t>系统建设内容如下：</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1）地图平台</w:t>
      </w:r>
      <w:r>
        <w:rPr>
          <w:rFonts w:hint="default" w:ascii="仿宋" w:hAnsi="仿宋" w:eastAsia="仿宋" w:cs="Times New Roman"/>
          <w:sz w:val="24"/>
          <w:szCs w:val="28"/>
          <w:lang w:val="en-US" w:eastAsia="zh-CN"/>
        </w:rPr>
        <w:t>数据库规划设计：包括但不限于数据结构定义、数据分类标准定义、空间与非空间数据管理规划、分层管理规划等；</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2</w:t>
      </w:r>
      <w:r>
        <w:rPr>
          <w:rFonts w:hint="default" w:ascii="仿宋" w:hAnsi="仿宋" w:eastAsia="仿宋" w:cs="Times New Roman"/>
          <w:sz w:val="24"/>
          <w:szCs w:val="28"/>
          <w:lang w:val="en-US" w:eastAsia="zh-CN"/>
        </w:rPr>
        <w:t>）</w:t>
      </w:r>
      <w:r>
        <w:rPr>
          <w:rFonts w:hint="eastAsia" w:ascii="仿宋" w:hAnsi="仿宋" w:eastAsia="仿宋" w:cs="Times New Roman"/>
          <w:sz w:val="24"/>
          <w:szCs w:val="28"/>
          <w:lang w:val="en-US" w:eastAsia="zh-CN"/>
        </w:rPr>
        <w:t>地图平台</w:t>
      </w:r>
      <w:r>
        <w:rPr>
          <w:rFonts w:hint="default" w:ascii="仿宋" w:hAnsi="仿宋" w:eastAsia="仿宋" w:cs="Times New Roman"/>
          <w:sz w:val="24"/>
          <w:szCs w:val="28"/>
          <w:lang w:val="en-US" w:eastAsia="zh-CN"/>
        </w:rPr>
        <w:t>模型设计：包括但不限于空间查询与分析模型等；</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3</w:t>
      </w:r>
      <w:r>
        <w:rPr>
          <w:rFonts w:hint="default" w:ascii="仿宋" w:hAnsi="仿宋" w:eastAsia="仿宋" w:cs="Times New Roman"/>
          <w:sz w:val="24"/>
          <w:szCs w:val="28"/>
          <w:lang w:val="en-US" w:eastAsia="zh-CN"/>
        </w:rPr>
        <w:t>）地图底图：</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（1）</w:t>
      </w:r>
      <w:r>
        <w:rPr>
          <w:rFonts w:hint="default" w:ascii="仿宋" w:hAnsi="仿宋" w:eastAsia="仿宋" w:cs="Times New Roman"/>
          <w:sz w:val="24"/>
          <w:szCs w:val="28"/>
          <w:lang w:val="en-US" w:eastAsia="zh-CN"/>
        </w:rPr>
        <w:t>基础承载框架：前端地图承载框架，支持PC端及移动端地图展示</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（2）</w:t>
      </w:r>
      <w:r>
        <w:rPr>
          <w:rFonts w:hint="default" w:ascii="仿宋" w:hAnsi="仿宋" w:eastAsia="仿宋" w:cs="Times New Roman"/>
          <w:sz w:val="24"/>
          <w:szCs w:val="28"/>
          <w:lang w:val="en-US" w:eastAsia="zh-CN"/>
        </w:rPr>
        <w:t>底图：框架定义标准嵌入接口，接入第三方底图</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（3）</w:t>
      </w:r>
      <w:r>
        <w:rPr>
          <w:rFonts w:hint="default" w:ascii="仿宋" w:hAnsi="仿宋" w:eastAsia="仿宋" w:cs="Times New Roman"/>
          <w:sz w:val="24"/>
          <w:szCs w:val="28"/>
          <w:lang w:val="en-US" w:eastAsia="zh-CN"/>
        </w:rPr>
        <w:t>坐标标准：定义统一坐标标准，与通用坐标体系兼容。政府端采集的地块坐标可进行映射，</w:t>
      </w:r>
      <w:r>
        <w:rPr>
          <w:rFonts w:hint="eastAsia" w:ascii="仿宋" w:hAnsi="仿宋" w:eastAsia="仿宋" w:cs="Times New Roman"/>
          <w:sz w:val="24"/>
          <w:szCs w:val="28"/>
          <w:lang w:val="en-US" w:eastAsia="zh-CN"/>
        </w:rPr>
        <w:t>也支持</w:t>
      </w:r>
      <w:r>
        <w:rPr>
          <w:rFonts w:hint="default" w:ascii="仿宋" w:hAnsi="仿宋" w:eastAsia="仿宋" w:cs="Times New Roman"/>
          <w:sz w:val="24"/>
          <w:szCs w:val="28"/>
          <w:lang w:val="en-US" w:eastAsia="zh-CN"/>
        </w:rPr>
        <w:t>对历史地块数据的映射</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（4）其他</w:t>
      </w:r>
      <w:r>
        <w:rPr>
          <w:rFonts w:hint="default" w:ascii="仿宋" w:hAnsi="仿宋" w:eastAsia="仿宋" w:cs="Times New Roman"/>
          <w:sz w:val="24"/>
          <w:szCs w:val="28"/>
          <w:lang w:val="en-US" w:eastAsia="zh-CN"/>
        </w:rPr>
        <w:t>外采</w:t>
      </w:r>
      <w:r>
        <w:rPr>
          <w:rFonts w:hint="eastAsia" w:ascii="仿宋" w:hAnsi="仿宋" w:eastAsia="仿宋" w:cs="Times New Roman"/>
          <w:sz w:val="24"/>
          <w:szCs w:val="28"/>
          <w:lang w:val="en-US" w:eastAsia="zh-CN"/>
        </w:rPr>
        <w:t>地图、地块等相关</w:t>
      </w:r>
      <w:r>
        <w:rPr>
          <w:rFonts w:hint="default" w:ascii="仿宋" w:hAnsi="仿宋" w:eastAsia="仿宋" w:cs="Times New Roman"/>
          <w:sz w:val="24"/>
          <w:szCs w:val="28"/>
          <w:lang w:val="en-US" w:eastAsia="zh-CN"/>
        </w:rPr>
        <w:t>数据接入管理</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4</w:t>
      </w:r>
      <w:r>
        <w:rPr>
          <w:rFonts w:hint="default" w:ascii="仿宋" w:hAnsi="仿宋" w:eastAsia="仿宋" w:cs="Times New Roman"/>
          <w:sz w:val="24"/>
          <w:szCs w:val="28"/>
          <w:lang w:val="en-US" w:eastAsia="zh-CN"/>
        </w:rPr>
        <w:t>）地图操作工具及系统：</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（1）</w:t>
      </w:r>
      <w:r>
        <w:rPr>
          <w:rFonts w:hint="default" w:ascii="仿宋" w:hAnsi="仿宋" w:eastAsia="仿宋" w:cs="Times New Roman"/>
          <w:sz w:val="24"/>
          <w:szCs w:val="28"/>
          <w:lang w:val="en-US" w:eastAsia="zh-CN"/>
        </w:rPr>
        <w:t>PC端营运管理工具：大地图页面加载地图，根据业务场景及筛选加载地块涂层，以及基于地图的营运管理及业务分析功能</w:t>
      </w:r>
      <w:r>
        <w:rPr>
          <w:rFonts w:hint="eastAsia" w:ascii="仿宋" w:hAnsi="仿宋" w:eastAsia="仿宋" w:cs="Times New Roman"/>
          <w:sz w:val="24"/>
          <w:szCs w:val="28"/>
          <w:lang w:val="en-US" w:eastAsia="zh-CN"/>
        </w:rPr>
        <w:t>，需对接核心业务系统；</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（2）</w:t>
      </w:r>
      <w:r>
        <w:rPr>
          <w:rFonts w:hint="default" w:ascii="仿宋" w:hAnsi="仿宋" w:eastAsia="仿宋" w:cs="Times New Roman"/>
          <w:sz w:val="24"/>
          <w:szCs w:val="28"/>
          <w:lang w:val="en-US" w:eastAsia="zh-CN"/>
        </w:rPr>
        <w:t>基本操作工具：勾画、测距、测面、影像采集、信息关联、四至图</w:t>
      </w:r>
      <w:r>
        <w:rPr>
          <w:rFonts w:hint="eastAsia" w:ascii="仿宋" w:hAnsi="仿宋" w:eastAsia="仿宋" w:cs="Times New Roman"/>
          <w:sz w:val="24"/>
          <w:szCs w:val="28"/>
          <w:lang w:val="en-US" w:eastAsia="zh-CN"/>
        </w:rPr>
        <w:t>、重复投保校验</w:t>
      </w:r>
      <w:r>
        <w:rPr>
          <w:rFonts w:hint="default" w:ascii="仿宋" w:hAnsi="仿宋" w:eastAsia="仿宋" w:cs="Times New Roman"/>
          <w:sz w:val="24"/>
          <w:szCs w:val="28"/>
          <w:lang w:val="en-US" w:eastAsia="zh-CN"/>
        </w:rPr>
        <w:t>等操作工具</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（3）</w:t>
      </w:r>
      <w:r>
        <w:rPr>
          <w:rFonts w:hint="default" w:ascii="仿宋" w:hAnsi="仿宋" w:eastAsia="仿宋" w:cs="Times New Roman"/>
          <w:sz w:val="24"/>
          <w:szCs w:val="28"/>
          <w:lang w:val="en-US" w:eastAsia="zh-CN"/>
        </w:rPr>
        <w:t>图形数据采集与编辑和属性数据编辑</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（4）</w:t>
      </w:r>
      <w:r>
        <w:rPr>
          <w:rFonts w:hint="default" w:ascii="仿宋" w:hAnsi="仿宋" w:eastAsia="仿宋" w:cs="Times New Roman"/>
          <w:sz w:val="24"/>
          <w:szCs w:val="28"/>
          <w:lang w:val="en-US" w:eastAsia="zh-CN"/>
        </w:rPr>
        <w:t>移动端集成：相关工具以功能包的方式供给移动端进行统一使用，</w:t>
      </w:r>
      <w:r>
        <w:rPr>
          <w:rFonts w:hint="eastAsia" w:ascii="仿宋" w:hAnsi="仿宋" w:eastAsia="仿宋" w:cs="Times New Roman"/>
          <w:sz w:val="24"/>
          <w:szCs w:val="28"/>
          <w:lang w:val="en-US" w:eastAsia="zh-CN"/>
        </w:rPr>
        <w:t>支持</w:t>
      </w:r>
      <w:r>
        <w:rPr>
          <w:rFonts w:hint="default" w:ascii="仿宋" w:hAnsi="仿宋" w:eastAsia="仿宋" w:cs="Times New Roman"/>
          <w:sz w:val="24"/>
          <w:szCs w:val="28"/>
          <w:lang w:val="en-US" w:eastAsia="zh-CN"/>
        </w:rPr>
        <w:t>在移动端进行地图的展示及操作</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（5）支持</w:t>
      </w:r>
      <w:r>
        <w:rPr>
          <w:rFonts w:hint="default" w:ascii="仿宋" w:hAnsi="仿宋" w:eastAsia="仿宋" w:cs="Times New Roman"/>
          <w:sz w:val="24"/>
          <w:szCs w:val="28"/>
          <w:lang w:val="en-US" w:eastAsia="zh-CN"/>
        </w:rPr>
        <w:t>外部调用</w:t>
      </w:r>
      <w:r>
        <w:rPr>
          <w:rFonts w:hint="eastAsia" w:ascii="仿宋" w:hAnsi="仿宋" w:eastAsia="仿宋" w:cs="Times New Roman"/>
          <w:sz w:val="24"/>
          <w:szCs w:val="28"/>
          <w:lang w:val="en-US" w:eastAsia="zh-CN"/>
        </w:rPr>
        <w:t>相关</w:t>
      </w:r>
      <w:r>
        <w:rPr>
          <w:rFonts w:hint="default" w:ascii="仿宋" w:hAnsi="仿宋" w:eastAsia="仿宋" w:cs="Times New Roman"/>
          <w:sz w:val="24"/>
          <w:szCs w:val="28"/>
          <w:lang w:val="en-US" w:eastAsia="zh-CN"/>
        </w:rPr>
        <w:t>接口及服务</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5</w:t>
      </w:r>
      <w:r>
        <w:rPr>
          <w:rFonts w:hint="default" w:ascii="仿宋" w:hAnsi="仿宋" w:eastAsia="仿宋" w:cs="Times New Roman"/>
          <w:sz w:val="24"/>
          <w:szCs w:val="28"/>
          <w:lang w:val="en-US" w:eastAsia="zh-CN"/>
        </w:rPr>
        <w:t>）地块及标的库管理：</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（1）</w:t>
      </w:r>
      <w:r>
        <w:rPr>
          <w:rFonts w:hint="default" w:ascii="仿宋" w:hAnsi="仿宋" w:eastAsia="仿宋" w:cs="Times New Roman"/>
          <w:sz w:val="24"/>
          <w:szCs w:val="28"/>
          <w:lang w:val="en-US" w:eastAsia="zh-CN"/>
        </w:rPr>
        <w:t>地块的整体管理，列表化的管理，基于时间维度、客户维度、业务维度的数据统计</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（2）</w:t>
      </w:r>
      <w:r>
        <w:rPr>
          <w:rFonts w:hint="default" w:ascii="仿宋" w:hAnsi="仿宋" w:eastAsia="仿宋" w:cs="Times New Roman"/>
          <w:sz w:val="24"/>
          <w:szCs w:val="28"/>
          <w:lang w:val="en-US" w:eastAsia="zh-CN"/>
        </w:rPr>
        <w:t>维护基础地块，即整个区域有基础地块，业务上可以使用基础地块，但不可修改基础地块</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（3）</w:t>
      </w:r>
      <w:r>
        <w:rPr>
          <w:rFonts w:hint="default" w:ascii="仿宋" w:hAnsi="仿宋" w:eastAsia="仿宋" w:cs="Times New Roman"/>
          <w:sz w:val="24"/>
          <w:szCs w:val="28"/>
          <w:lang w:val="en-US" w:eastAsia="zh-CN"/>
        </w:rPr>
        <w:t>基础地块的新增和修改审核功能，针对基础地块的修改统一的审核确认操作</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（4）</w:t>
      </w:r>
      <w:r>
        <w:rPr>
          <w:rFonts w:hint="default" w:ascii="仿宋" w:hAnsi="仿宋" w:eastAsia="仿宋" w:cs="Times New Roman"/>
          <w:sz w:val="24"/>
          <w:szCs w:val="28"/>
          <w:lang w:val="en-US" w:eastAsia="zh-CN"/>
        </w:rPr>
        <w:t>业务地块</w:t>
      </w:r>
      <w:r>
        <w:rPr>
          <w:rFonts w:hint="eastAsia" w:ascii="仿宋" w:hAnsi="仿宋" w:eastAsia="仿宋" w:cs="Times New Roman"/>
          <w:sz w:val="24"/>
          <w:szCs w:val="28"/>
          <w:lang w:val="en-US" w:eastAsia="zh-CN"/>
        </w:rPr>
        <w:t>管理功能</w:t>
      </w:r>
      <w:r>
        <w:rPr>
          <w:rFonts w:hint="default" w:ascii="仿宋" w:hAnsi="仿宋" w:eastAsia="仿宋" w:cs="Times New Roman"/>
          <w:sz w:val="24"/>
          <w:szCs w:val="28"/>
          <w:lang w:val="en-US" w:eastAsia="zh-CN"/>
        </w:rPr>
        <w:t>，</w:t>
      </w:r>
      <w:r>
        <w:rPr>
          <w:rFonts w:hint="eastAsia" w:ascii="仿宋" w:hAnsi="仿宋" w:eastAsia="仿宋" w:cs="Times New Roman"/>
          <w:sz w:val="24"/>
          <w:szCs w:val="28"/>
          <w:lang w:val="en-US" w:eastAsia="zh-CN"/>
        </w:rPr>
        <w:t>其中</w:t>
      </w:r>
      <w:r>
        <w:rPr>
          <w:rFonts w:hint="default" w:ascii="仿宋" w:hAnsi="仿宋" w:eastAsia="仿宋" w:cs="Times New Roman"/>
          <w:sz w:val="24"/>
          <w:szCs w:val="28"/>
          <w:lang w:val="en-US" w:eastAsia="zh-CN"/>
        </w:rPr>
        <w:t>单个业务保单包含的地块</w:t>
      </w:r>
      <w:r>
        <w:rPr>
          <w:rFonts w:hint="eastAsia" w:ascii="仿宋" w:hAnsi="仿宋" w:eastAsia="仿宋" w:cs="Times New Roman"/>
          <w:sz w:val="24"/>
          <w:szCs w:val="28"/>
          <w:lang w:val="en-US" w:eastAsia="zh-CN"/>
        </w:rPr>
        <w:t>需</w:t>
      </w:r>
      <w:r>
        <w:rPr>
          <w:rFonts w:hint="default" w:ascii="仿宋" w:hAnsi="仿宋" w:eastAsia="仿宋" w:cs="Times New Roman"/>
          <w:sz w:val="24"/>
          <w:szCs w:val="28"/>
          <w:lang w:val="en-US" w:eastAsia="zh-CN"/>
        </w:rPr>
        <w:t>与基础地块数据解耦，仅在地图上展示重合关系</w:t>
      </w:r>
      <w:r>
        <w:rPr>
          <w:rFonts w:hint="eastAsia" w:ascii="仿宋" w:hAnsi="仿宋" w:eastAsia="仿宋" w:cs="Times New Roman"/>
          <w:sz w:val="24"/>
          <w:szCs w:val="28"/>
          <w:lang w:val="en-US" w:eastAsia="zh-CN"/>
        </w:rPr>
        <w:t>；</w:t>
      </w:r>
    </w:p>
    <w:p>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（5）基础</w:t>
      </w:r>
      <w:r>
        <w:rPr>
          <w:rFonts w:hint="default" w:ascii="仿宋" w:hAnsi="仿宋" w:eastAsia="仿宋" w:cs="Times New Roman"/>
          <w:sz w:val="24"/>
          <w:szCs w:val="28"/>
          <w:lang w:val="en-US" w:eastAsia="zh-CN"/>
        </w:rPr>
        <w:t>地块历史版本的保存，可按时间节点进行回溯，体现在大地图页面</w:t>
      </w:r>
      <w:r>
        <w:rPr>
          <w:rFonts w:hint="eastAsia" w:ascii="仿宋" w:hAnsi="仿宋" w:eastAsia="仿宋" w:cs="Times New Roman"/>
          <w:sz w:val="24"/>
          <w:szCs w:val="28"/>
          <w:lang w:val="en-US" w:eastAsia="zh-CN"/>
        </w:rPr>
        <w:t>。</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6）我司历史E农险数据改造为标准坐标数据，导入地图平台。</w:t>
      </w:r>
    </w:p>
    <w:p>
      <w:pPr>
        <w:numPr>
          <w:ilvl w:val="0"/>
          <w:numId w:val="2"/>
        </w:numPr>
        <w:spacing w:line="360" w:lineRule="auto"/>
        <w:outlineLvl w:val="0"/>
        <w:rPr>
          <w:rFonts w:hint="default" w:ascii="黑体" w:hAnsi="黑体" w:eastAsia="黑体" w:cs="黑体"/>
          <w:b/>
          <w:sz w:val="24"/>
          <w:lang w:val="en-US" w:eastAsia="zh-CN"/>
        </w:rPr>
      </w:pPr>
      <w:r>
        <w:rPr>
          <w:rFonts w:hint="eastAsia" w:ascii="黑体" w:hAnsi="黑体" w:eastAsia="黑体" w:cs="黑体"/>
          <w:b/>
          <w:sz w:val="24"/>
          <w:lang w:val="en-US" w:eastAsia="zh-CN"/>
        </w:rPr>
        <w:t>服务方式</w:t>
      </w:r>
    </w:p>
    <w:p>
      <w:pPr>
        <w:spacing w:line="360" w:lineRule="auto"/>
        <w:ind w:firstLine="480" w:firstLineChars="200"/>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本项目采购合同期内，提供驻场，接受甲方管理，按甲方要求开展工作。</w:t>
      </w:r>
    </w:p>
    <w:p>
      <w:pPr>
        <w:numPr>
          <w:ilvl w:val="0"/>
          <w:numId w:val="2"/>
        </w:numPr>
        <w:spacing w:line="360" w:lineRule="auto"/>
        <w:outlineLvl w:val="0"/>
        <w:rPr>
          <w:rFonts w:ascii="黑体" w:hAnsi="黑体" w:eastAsia="黑体" w:cs="黑体"/>
          <w:b/>
          <w:sz w:val="24"/>
        </w:rPr>
      </w:pPr>
      <w:r>
        <w:rPr>
          <w:rFonts w:hint="eastAsia" w:ascii="黑体" w:hAnsi="黑体" w:eastAsia="黑体" w:cs="黑体"/>
          <w:b/>
          <w:sz w:val="24"/>
          <w:lang w:val="en-US" w:eastAsia="zh-CN"/>
        </w:rPr>
        <w:t>项目人员基本要求</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产品需求：</w:t>
      </w:r>
    </w:p>
    <w:p>
      <w:pPr>
        <w:spacing w:line="360" w:lineRule="auto"/>
        <w:ind w:firstLine="480" w:firstLineChars="200"/>
        <w:rPr>
          <w:rFonts w:ascii="黑体" w:hAnsi="黑体" w:eastAsia="黑体" w:cs="黑体"/>
          <w:b/>
          <w:sz w:val="24"/>
        </w:rPr>
      </w:pPr>
      <w:r>
        <w:rPr>
          <w:rFonts w:hint="eastAsia" w:ascii="仿宋" w:hAnsi="仿宋" w:eastAsia="仿宋" w:cs="仿宋"/>
          <w:sz w:val="24"/>
          <w:lang w:val="en-US" w:eastAsia="zh-CN"/>
        </w:rPr>
        <w:t>（1）熟悉地理信息系统，了解农业地理相关内容；</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（2）工作有5年以上，熟悉农业行业，参与相关项目需求分析及开发支持；</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（3）有大型系统环境搭建经验；</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（4）掌握金融保险业对信息及数据安全相关要求；</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（5）精通常见的需求分析工具。</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研发：</w:t>
      </w:r>
    </w:p>
    <w:p>
      <w:pPr>
        <w:spacing w:line="360" w:lineRule="auto"/>
        <w:ind w:firstLine="480" w:firstLineChars="200"/>
        <w:rPr>
          <w:rFonts w:ascii="黑体" w:hAnsi="黑体" w:eastAsia="黑体" w:cs="黑体"/>
          <w:b/>
          <w:sz w:val="24"/>
        </w:rPr>
      </w:pPr>
      <w:r>
        <w:rPr>
          <w:rFonts w:hint="eastAsia" w:ascii="仿宋" w:hAnsi="仿宋" w:eastAsia="仿宋" w:cs="仿宋"/>
          <w:sz w:val="24"/>
          <w:lang w:val="en-US" w:eastAsia="zh-CN"/>
        </w:rPr>
        <w:t>（1）熟悉地理信息系统，了解农业地理相关内容；</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（2）工作年限3年以上，有2年以上地理信息系统项目开发经验；</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（3）参与过地理信息系统或农业项目的推广、需求分析及开发支持；</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（4）有大型系统环境搭建经历，熟悉主流应用平台；</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（5）掌握金融保险业对信息及数据安全相关要求；</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（6）掌握常见的需求分析工具。</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Times New Roman"/>
          <w:sz w:val="24"/>
          <w:szCs w:val="28"/>
          <w:lang w:val="en-US" w:eastAsia="zh-CN"/>
        </w:rPr>
        <w:t>项目服务外包人员的资质证明应在驻场前通过我司验证</w:t>
      </w:r>
      <w:r>
        <w:rPr>
          <w:rFonts w:hint="eastAsia" w:ascii="仿宋" w:hAnsi="仿宋" w:eastAsia="仿宋" w:cs="仿宋"/>
          <w:sz w:val="24"/>
          <w:lang w:val="en-US" w:eastAsia="zh-CN"/>
        </w:rPr>
        <w:t>。</w:t>
      </w:r>
    </w:p>
    <w:p>
      <w:pPr>
        <w:numPr>
          <w:ilvl w:val="0"/>
          <w:numId w:val="1"/>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1.本次</w:t>
      </w:r>
      <w:r>
        <w:rPr>
          <w:rFonts w:hint="eastAsia" w:ascii="仿宋" w:hAnsi="仿宋" w:eastAsia="仿宋" w:cs="仿宋"/>
          <w:sz w:val="24"/>
          <w:lang w:val="en-US" w:eastAsia="zh-CN"/>
        </w:rPr>
        <w:t>项目</w:t>
      </w:r>
      <w:r>
        <w:rPr>
          <w:rFonts w:hint="eastAsia" w:ascii="仿宋" w:hAnsi="仿宋" w:eastAsia="仿宋" w:cs="仿宋"/>
          <w:sz w:val="24"/>
        </w:rPr>
        <w:t>要求项目组成员必须遵守太安农险的</w:t>
      </w:r>
      <w:r>
        <w:rPr>
          <w:rFonts w:hint="eastAsia" w:ascii="仿宋" w:hAnsi="仿宋" w:eastAsia="仿宋" w:cs="仿宋"/>
          <w:sz w:val="24"/>
          <w:lang w:val="en-US" w:eastAsia="zh-CN"/>
        </w:rPr>
        <w:t>外包</w:t>
      </w:r>
      <w:r>
        <w:rPr>
          <w:rFonts w:hint="eastAsia" w:ascii="仿宋" w:hAnsi="仿宋" w:eastAsia="仿宋" w:cs="仿宋"/>
          <w:sz w:val="24"/>
        </w:rPr>
        <w:t>人员管理办法；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2.供应商需具有提供符合规格的项目实施能力，承诺按时、保质完成项目及项目验收，并在投标文件中明确项目服务的质量及安全保密承诺；</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3.供应商需具有提供完善的售后服务的能力；</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4.供应商需提供多种技术支持手段，如电话支持、邮件支持、现场支持等；</w:t>
      </w:r>
    </w:p>
    <w:p>
      <w:pPr>
        <w:spacing w:line="360" w:lineRule="auto"/>
        <w:ind w:firstLine="480" w:firstLineChars="200"/>
        <w:rPr>
          <w:rFonts w:ascii="仿宋" w:hAnsi="仿宋" w:eastAsia="仿宋" w:cs="仿宋"/>
          <w:sz w:val="24"/>
        </w:rPr>
      </w:pPr>
      <w:r>
        <w:rPr>
          <w:rFonts w:hint="eastAsia" w:ascii="仿宋" w:hAnsi="仿宋" w:eastAsia="仿宋"/>
          <w:sz w:val="24"/>
        </w:rPr>
        <w:t>5.在项目实施过程中，</w:t>
      </w:r>
      <w:r>
        <w:rPr>
          <w:rFonts w:hint="eastAsia" w:ascii="仿宋" w:hAnsi="仿宋" w:eastAsia="仿宋" w:cs="仿宋"/>
          <w:sz w:val="24"/>
        </w:rPr>
        <w:t>供应商</w:t>
      </w:r>
      <w:r>
        <w:rPr>
          <w:rFonts w:hint="eastAsia" w:ascii="仿宋" w:hAnsi="仿宋" w:eastAsia="仿宋"/>
          <w:sz w:val="24"/>
        </w:rPr>
        <w:t>必须积极服从、配合我方功能调试、上线工作的安排及管理；</w:t>
      </w:r>
      <w:r>
        <w:rPr>
          <w:rFonts w:hint="eastAsia" w:ascii="仿宋" w:hAnsi="仿宋" w:eastAsia="仿宋" w:cs="仿宋"/>
          <w:sz w:val="24"/>
        </w:rPr>
        <w:t>供应商</w:t>
      </w:r>
      <w:r>
        <w:rPr>
          <w:rFonts w:hint="eastAsia" w:ascii="仿宋" w:hAnsi="仿宋" w:eastAsia="仿宋"/>
          <w:sz w:val="24"/>
        </w:rPr>
        <w:t>应分阶段提交有关文档，文档达到要求后由我公司验收确认；</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cs="仿宋"/>
          <w:sz w:val="24"/>
        </w:rPr>
        <w:t>供应商</w:t>
      </w:r>
      <w:r>
        <w:rPr>
          <w:rFonts w:hint="eastAsia" w:ascii="仿宋" w:hAnsi="仿宋" w:eastAsia="仿宋"/>
          <w:sz w:val="24"/>
        </w:rPr>
        <w:t>应根据我方的标准及要求，负责做好项目后期资料的整理及我方人员的培训工作</w:t>
      </w:r>
      <w:r>
        <w:rPr>
          <w:rFonts w:hint="eastAsia" w:ascii="仿宋" w:hAnsi="仿宋" w:eastAsia="仿宋"/>
          <w:sz w:val="24"/>
          <w:lang w:eastAsia="zh-CN"/>
        </w:rPr>
        <w:t>；</w:t>
      </w:r>
    </w:p>
    <w:p>
      <w:pPr>
        <w:spacing w:line="360" w:lineRule="auto"/>
        <w:ind w:firstLine="480" w:firstLineChars="200"/>
        <w:rPr>
          <w:rFonts w:ascii="仿宋" w:hAnsi="仿宋" w:eastAsia="仿宋"/>
          <w:sz w:val="24"/>
        </w:rPr>
      </w:pPr>
      <w:r>
        <w:rPr>
          <w:rFonts w:hint="eastAsia" w:ascii="仿宋" w:hAnsi="仿宋" w:eastAsia="仿宋"/>
          <w:sz w:val="24"/>
        </w:rPr>
        <w:t>7.供应商须保证对项目中所提供软件提供至少1年原厂的免费维保及技术支持服务。同时列明其后的服务年费用报价，供甲方参考。</w:t>
      </w:r>
    </w:p>
    <w:p>
      <w:pPr>
        <w:numPr>
          <w:ilvl w:val="0"/>
          <w:numId w:val="1"/>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lang w:val="en-US" w:eastAsia="zh-CN"/>
        </w:rPr>
        <w:t>项目周期</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本项目自采购合同签订之日起至</w:t>
      </w:r>
      <w:r>
        <w:rPr>
          <w:rFonts w:hint="eastAsia" w:ascii="仿宋" w:hAnsi="仿宋" w:eastAsia="仿宋" w:cs="仿宋"/>
          <w:sz w:val="24"/>
          <w:lang w:val="en-US" w:eastAsia="zh-CN"/>
        </w:rPr>
        <w:t>合同约定终止之日</w:t>
      </w:r>
      <w:r>
        <w:rPr>
          <w:rFonts w:hint="eastAsia" w:ascii="仿宋" w:hAnsi="仿宋" w:eastAsia="仿宋" w:cs="仿宋"/>
          <w:sz w:val="24"/>
        </w:rPr>
        <w:t>完成功能开发、测试和上线</w:t>
      </w:r>
      <w:r>
        <w:rPr>
          <w:rFonts w:hint="eastAsia" w:ascii="仿宋" w:hAnsi="仿宋" w:eastAsia="仿宋" w:cs="仿宋"/>
          <w:sz w:val="24"/>
          <w:lang w:eastAsia="zh-CN"/>
        </w:rPr>
        <w:t>，</w:t>
      </w:r>
      <w:r>
        <w:rPr>
          <w:rFonts w:hint="eastAsia" w:ascii="仿宋" w:hAnsi="仿宋" w:eastAsia="仿宋" w:cs="仿宋"/>
          <w:sz w:val="24"/>
          <w:lang w:val="en-US" w:eastAsia="zh-CN"/>
        </w:rPr>
        <w:t>并确保可按我司要求续期</w:t>
      </w:r>
      <w:r>
        <w:rPr>
          <w:rFonts w:hint="eastAsia" w:ascii="仿宋" w:hAnsi="仿宋" w:eastAsia="仿宋" w:cs="仿宋"/>
          <w:sz w:val="24"/>
        </w:rPr>
        <w:t>。</w:t>
      </w:r>
    </w:p>
    <w:p>
      <w:pPr>
        <w:numPr>
          <w:ilvl w:val="0"/>
          <w:numId w:val="1"/>
        </w:numPr>
        <w:spacing w:line="360" w:lineRule="auto"/>
        <w:ind w:firstLine="472" w:firstLineChars="196"/>
        <w:outlineLvl w:val="0"/>
        <w:rPr>
          <w:rFonts w:hint="eastAsia" w:ascii="黑体" w:hAnsi="黑体" w:eastAsia="黑体" w:cs="黑体"/>
          <w:b/>
          <w:sz w:val="24"/>
          <w:lang w:val="en-US" w:eastAsia="zh-CN"/>
        </w:rPr>
      </w:pPr>
      <w:r>
        <w:rPr>
          <w:rFonts w:hint="eastAsia" w:ascii="黑体" w:hAnsi="黑体" w:eastAsia="黑体" w:cs="黑体"/>
          <w:b/>
          <w:sz w:val="24"/>
          <w:lang w:val="en-US" w:eastAsia="zh-CN"/>
        </w:rPr>
        <w:t>竞价供应商资格要求</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供应</w:t>
      </w:r>
      <w:r>
        <w:rPr>
          <w:rFonts w:hint="eastAsia" w:ascii="仿宋" w:hAnsi="仿宋" w:eastAsia="仿宋"/>
          <w:sz w:val="24"/>
        </w:rPr>
        <w:t>商必须是在中华人民共和国合法注册和按时进行年检的企业，具有独立承担民事责任的能力，具有有效的营业执照、税务登记证、组织机构代码证或三证合一的营业执照；</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2.</w:t>
      </w:r>
      <w:r>
        <w:rPr>
          <w:rFonts w:hint="eastAsia" w:ascii="仿宋" w:hAnsi="仿宋" w:eastAsia="仿宋"/>
          <w:sz w:val="24"/>
          <w:lang w:val="en-US" w:eastAsia="zh-CN"/>
        </w:rPr>
        <w:t>供应</w:t>
      </w:r>
      <w:r>
        <w:rPr>
          <w:rFonts w:hint="eastAsia" w:ascii="仿宋" w:hAnsi="仿宋" w:eastAsia="仿宋"/>
          <w:sz w:val="24"/>
        </w:rPr>
        <w:t>商企业成立</w:t>
      </w:r>
      <w:r>
        <w:rPr>
          <w:rFonts w:hint="eastAsia" w:ascii="仿宋" w:hAnsi="仿宋" w:eastAsia="仿宋"/>
          <w:sz w:val="24"/>
          <w:lang w:val="en-US" w:eastAsia="zh-CN"/>
        </w:rPr>
        <w:t>3</w:t>
      </w:r>
      <w:r>
        <w:rPr>
          <w:rFonts w:hint="eastAsia" w:ascii="仿宋" w:hAnsi="仿宋" w:eastAsia="仿宋"/>
          <w:sz w:val="24"/>
        </w:rPr>
        <w:t>年以上，注册资本人民币</w:t>
      </w:r>
      <w:r>
        <w:rPr>
          <w:rFonts w:hint="eastAsia" w:ascii="仿宋" w:hAnsi="仿宋" w:eastAsia="仿宋"/>
          <w:sz w:val="24"/>
          <w:lang w:val="en-US" w:eastAsia="zh-CN"/>
        </w:rPr>
        <w:t>5</w:t>
      </w:r>
      <w:r>
        <w:rPr>
          <w:rFonts w:hint="eastAsia" w:ascii="仿宋" w:hAnsi="仿宋" w:eastAsia="仿宋"/>
          <w:sz w:val="24"/>
        </w:rPr>
        <w:t>00万元以上；</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3.</w:t>
      </w:r>
      <w:r>
        <w:rPr>
          <w:rFonts w:hint="eastAsia" w:ascii="仿宋" w:hAnsi="仿宋" w:eastAsia="仿宋"/>
          <w:sz w:val="24"/>
          <w:lang w:val="en-US" w:eastAsia="zh-CN"/>
        </w:rPr>
        <w:t>供应</w:t>
      </w:r>
      <w:r>
        <w:rPr>
          <w:rFonts w:hint="eastAsia" w:ascii="仿宋" w:hAnsi="仿宋" w:eastAsia="仿宋"/>
          <w:sz w:val="24"/>
        </w:rPr>
        <w:t>商近年</w:t>
      </w:r>
      <w:r>
        <w:rPr>
          <w:rFonts w:hint="eastAsia" w:ascii="仿宋" w:hAnsi="仿宋" w:eastAsia="仿宋"/>
          <w:sz w:val="24"/>
          <w:lang w:val="en-US" w:eastAsia="zh-CN"/>
        </w:rPr>
        <w:t>如</w:t>
      </w:r>
      <w:r>
        <w:rPr>
          <w:rFonts w:hint="eastAsia" w:ascii="仿宋" w:hAnsi="仿宋" w:eastAsia="仿宋"/>
          <w:sz w:val="24"/>
        </w:rPr>
        <w:t>有保险行业的软件开发</w:t>
      </w:r>
      <w:r>
        <w:rPr>
          <w:rFonts w:hint="eastAsia" w:ascii="仿宋" w:hAnsi="仿宋" w:eastAsia="仿宋"/>
          <w:sz w:val="24"/>
          <w:lang w:eastAsia="zh-CN"/>
        </w:rPr>
        <w:t>、</w:t>
      </w:r>
      <w:r>
        <w:rPr>
          <w:rFonts w:hint="eastAsia" w:ascii="仿宋" w:hAnsi="仿宋" w:eastAsia="仿宋"/>
          <w:sz w:val="24"/>
          <w:lang w:val="en-US" w:eastAsia="zh-CN"/>
        </w:rPr>
        <w:t>人力外包服务</w:t>
      </w:r>
      <w:r>
        <w:rPr>
          <w:rFonts w:hint="eastAsia" w:ascii="仿宋" w:hAnsi="仿宋" w:eastAsia="仿宋"/>
          <w:sz w:val="24"/>
        </w:rPr>
        <w:t>经验，需提供业绩合同或用户证明复印件；</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4.</w:t>
      </w:r>
      <w:r>
        <w:rPr>
          <w:rFonts w:hint="eastAsia" w:ascii="仿宋" w:hAnsi="仿宋" w:eastAsia="仿宋"/>
          <w:sz w:val="24"/>
          <w:lang w:val="en-US" w:eastAsia="zh-CN"/>
        </w:rPr>
        <w:t>供应</w:t>
      </w:r>
      <w:r>
        <w:rPr>
          <w:rFonts w:hint="eastAsia" w:ascii="仿宋" w:hAnsi="仿宋" w:eastAsia="仿宋"/>
          <w:sz w:val="24"/>
        </w:rPr>
        <w:t>商近三年无重大分裂、业务转型等现象，发展稳定持续；（出具申明函）</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5.</w:t>
      </w:r>
      <w:r>
        <w:rPr>
          <w:rFonts w:hint="eastAsia" w:ascii="仿宋" w:hAnsi="仿宋" w:eastAsia="仿宋"/>
          <w:sz w:val="24"/>
          <w:lang w:val="en-US" w:eastAsia="zh-CN"/>
        </w:rPr>
        <w:t>供应</w:t>
      </w:r>
      <w:r>
        <w:rPr>
          <w:rFonts w:hint="eastAsia" w:ascii="仿宋" w:hAnsi="仿宋" w:eastAsia="仿宋"/>
          <w:sz w:val="24"/>
        </w:rPr>
        <w:t>商近三年没有违反知识产权保护等国家有关法律的行为；（出具申明函）</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供应</w:t>
      </w:r>
      <w:r>
        <w:rPr>
          <w:rFonts w:hint="eastAsia" w:ascii="仿宋" w:hAnsi="仿宋" w:eastAsia="仿宋"/>
          <w:sz w:val="24"/>
        </w:rPr>
        <w:t>商具有固定的工作场所；具有软件产品质量和技术服务质量保证的手段与能力；</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7.</w:t>
      </w:r>
      <w:r>
        <w:rPr>
          <w:rFonts w:hint="eastAsia" w:ascii="仿宋" w:hAnsi="仿宋" w:eastAsia="仿宋"/>
          <w:sz w:val="24"/>
          <w:lang w:val="en-US" w:eastAsia="zh-CN"/>
        </w:rPr>
        <w:t>供应</w:t>
      </w:r>
      <w:r>
        <w:rPr>
          <w:rFonts w:hint="eastAsia" w:ascii="仿宋" w:hAnsi="仿宋" w:eastAsia="仿宋"/>
          <w:sz w:val="24"/>
        </w:rPr>
        <w:t>商应独立</w:t>
      </w:r>
      <w:r>
        <w:rPr>
          <w:rFonts w:hint="eastAsia" w:ascii="仿宋" w:hAnsi="仿宋" w:eastAsia="仿宋"/>
          <w:sz w:val="24"/>
          <w:lang w:val="en-US" w:eastAsia="zh-CN"/>
        </w:rPr>
        <w:t>落实本项目采购服务</w:t>
      </w:r>
      <w:r>
        <w:rPr>
          <w:rFonts w:hint="eastAsia" w:ascii="仿宋" w:hAnsi="仿宋" w:eastAsia="仿宋"/>
          <w:sz w:val="24"/>
        </w:rPr>
        <w:t>，不得以任何形式转包；</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8.</w:t>
      </w:r>
      <w:r>
        <w:rPr>
          <w:rFonts w:hint="eastAsia" w:ascii="仿宋" w:hAnsi="仿宋" w:eastAsia="仿宋"/>
          <w:sz w:val="24"/>
          <w:lang w:val="en-US" w:eastAsia="zh-CN"/>
        </w:rPr>
        <w:t>供应</w:t>
      </w:r>
      <w:r>
        <w:rPr>
          <w:rFonts w:hint="eastAsia" w:ascii="仿宋" w:hAnsi="仿宋" w:eastAsia="仿宋"/>
          <w:sz w:val="24"/>
        </w:rPr>
        <w:t>商需按太平洋安信农业保险股份有限公司要求时间范围内完成项目各项</w:t>
      </w:r>
      <w:r>
        <w:rPr>
          <w:rFonts w:hint="eastAsia" w:ascii="仿宋" w:hAnsi="仿宋" w:eastAsia="仿宋"/>
          <w:sz w:val="24"/>
          <w:lang w:val="en-US" w:eastAsia="zh-CN"/>
        </w:rPr>
        <w:t>服务</w:t>
      </w:r>
      <w:r>
        <w:rPr>
          <w:rFonts w:hint="eastAsia" w:ascii="仿宋" w:hAnsi="仿宋" w:eastAsia="仿宋"/>
          <w:sz w:val="24"/>
        </w:rPr>
        <w:t>工作</w:t>
      </w:r>
      <w:r>
        <w:rPr>
          <w:rFonts w:hint="eastAsia" w:ascii="仿宋" w:hAnsi="仿宋" w:eastAsia="仿宋"/>
          <w:sz w:val="24"/>
          <w:lang w:eastAsia="zh-CN"/>
        </w:rPr>
        <w:t>；</w:t>
      </w:r>
    </w:p>
    <w:p>
      <w:pPr>
        <w:spacing w:line="360" w:lineRule="auto"/>
        <w:ind w:firstLine="480" w:firstLineChars="200"/>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9.供应</w:t>
      </w:r>
      <w:r>
        <w:rPr>
          <w:rFonts w:hint="eastAsia" w:ascii="仿宋" w:hAnsi="仿宋" w:eastAsia="仿宋" w:cs="仿宋"/>
          <w:sz w:val="24"/>
        </w:rPr>
        <w:t>商需提供符合</w:t>
      </w:r>
      <w:r>
        <w:rPr>
          <w:rFonts w:hint="eastAsia" w:ascii="仿宋" w:hAnsi="仿宋" w:eastAsia="仿宋" w:cs="仿宋"/>
          <w:sz w:val="24"/>
          <w:lang w:val="en-US" w:eastAsia="zh-CN"/>
        </w:rPr>
        <w:t>要求</w:t>
      </w:r>
      <w:r>
        <w:rPr>
          <w:rFonts w:hint="eastAsia" w:ascii="仿宋" w:hAnsi="仿宋" w:eastAsia="仿宋" w:cs="仿宋"/>
          <w:sz w:val="24"/>
        </w:rPr>
        <w:t>的</w:t>
      </w:r>
      <w:r>
        <w:rPr>
          <w:rFonts w:hint="eastAsia" w:ascii="仿宋" w:hAnsi="仿宋" w:eastAsia="仿宋" w:cs="仿宋"/>
          <w:sz w:val="24"/>
          <w:lang w:val="en-US" w:eastAsia="zh-CN"/>
        </w:rPr>
        <w:t>驻场服务人员</w:t>
      </w:r>
      <w:r>
        <w:rPr>
          <w:rFonts w:hint="eastAsia" w:ascii="仿宋" w:hAnsi="仿宋" w:eastAsia="仿宋" w:cs="仿宋"/>
          <w:sz w:val="24"/>
        </w:rPr>
        <w:t>，承诺按时、保质完成</w:t>
      </w:r>
      <w:r>
        <w:rPr>
          <w:rFonts w:hint="eastAsia" w:ascii="仿宋" w:hAnsi="仿宋" w:eastAsia="仿宋" w:cs="仿宋"/>
          <w:sz w:val="24"/>
          <w:lang w:val="en-US" w:eastAsia="zh-CN"/>
        </w:rPr>
        <w:t>各项工作</w:t>
      </w:r>
      <w:r>
        <w:rPr>
          <w:rFonts w:hint="eastAsia" w:ascii="仿宋" w:hAnsi="仿宋" w:eastAsia="仿宋" w:cs="仿宋"/>
          <w:sz w:val="24"/>
        </w:rPr>
        <w:t>，并在投标文件中明确服务质量及安全保密承诺</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Times New Roman"/>
          <w:sz w:val="24"/>
          <w:szCs w:val="28"/>
          <w:lang w:val="en-US" w:eastAsia="zh-CN"/>
        </w:rPr>
        <w:t>10.供应商需</w:t>
      </w:r>
      <w:r>
        <w:rPr>
          <w:rFonts w:hint="eastAsia" w:ascii="仿宋" w:hAnsi="仿宋" w:eastAsia="仿宋"/>
          <w:sz w:val="24"/>
        </w:rPr>
        <w:t>根据我方的标准及要求，负责做好</w:t>
      </w:r>
      <w:r>
        <w:rPr>
          <w:rFonts w:hint="eastAsia" w:ascii="仿宋" w:hAnsi="仿宋" w:eastAsia="仿宋"/>
          <w:sz w:val="24"/>
          <w:lang w:val="en-US" w:eastAsia="zh-CN"/>
        </w:rPr>
        <w:t>驻场</w:t>
      </w:r>
      <w:r>
        <w:rPr>
          <w:rFonts w:hint="eastAsia" w:ascii="仿宋" w:hAnsi="仿宋" w:eastAsia="仿宋"/>
          <w:sz w:val="24"/>
        </w:rPr>
        <w:t>人员的培训</w:t>
      </w:r>
      <w:r>
        <w:rPr>
          <w:rFonts w:hint="eastAsia" w:ascii="仿宋" w:hAnsi="仿宋" w:eastAsia="仿宋"/>
          <w:sz w:val="24"/>
          <w:lang w:eastAsia="zh-CN"/>
        </w:rPr>
        <w:t>、</w:t>
      </w:r>
      <w:r>
        <w:rPr>
          <w:rFonts w:hint="eastAsia" w:ascii="仿宋" w:hAnsi="仿宋" w:eastAsia="仿宋" w:cs="仿宋"/>
          <w:sz w:val="24"/>
        </w:rPr>
        <w:t>技术支持</w:t>
      </w:r>
      <w:r>
        <w:rPr>
          <w:rFonts w:hint="eastAsia" w:ascii="仿宋" w:hAnsi="仿宋" w:eastAsia="仿宋" w:cs="仿宋"/>
          <w:sz w:val="24"/>
          <w:lang w:val="en-US" w:eastAsia="zh-CN"/>
        </w:rPr>
        <w:t>等</w:t>
      </w:r>
      <w:r>
        <w:rPr>
          <w:rFonts w:hint="eastAsia" w:ascii="仿宋" w:hAnsi="仿宋" w:eastAsia="仿宋"/>
          <w:sz w:val="24"/>
        </w:rPr>
        <w:t>工作。</w:t>
      </w:r>
    </w:p>
    <w:p>
      <w:pPr>
        <w:numPr>
          <w:ilvl w:val="0"/>
          <w:numId w:val="1"/>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项目价格构成</w:t>
      </w:r>
    </w:p>
    <w:p>
      <w:pPr>
        <w:tabs>
          <w:tab w:val="left" w:pos="900"/>
        </w:tabs>
        <w:spacing w:line="360" w:lineRule="auto"/>
        <w:ind w:firstLine="480" w:firstLineChars="200"/>
        <w:rPr>
          <w:rFonts w:hint="eastAsia" w:ascii="仿宋" w:hAnsi="仿宋" w:eastAsia="仿宋" w:cs="仿宋"/>
          <w:sz w:val="24"/>
        </w:rPr>
      </w:pPr>
      <w:r>
        <w:rPr>
          <w:rFonts w:hint="eastAsia" w:ascii="仿宋" w:hAnsi="仿宋" w:eastAsia="仿宋" w:cs="仿宋"/>
          <w:sz w:val="24"/>
        </w:rPr>
        <w:t>项目金额按照项目形式进行报价，贵公司项目组应根据贵公司开发、维护服务报价、硬件采购报价并结合我司开发功能需求对开发周期、成本、资源等进行综合评估，并在此基础上提出项目报价，最终项目总费用根据最终报价确定。</w:t>
      </w:r>
    </w:p>
    <w:p>
      <w:pPr>
        <w:numPr>
          <w:ilvl w:val="0"/>
          <w:numId w:val="1"/>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报价文件构成</w:t>
      </w:r>
    </w:p>
    <w:p>
      <w:pPr>
        <w:spacing w:line="360" w:lineRule="auto"/>
        <w:ind w:firstLine="480" w:firstLineChars="200"/>
        <w:rPr>
          <w:rFonts w:ascii="仿宋" w:hAnsi="仿宋" w:eastAsia="仿宋" w:cs="仿宋"/>
          <w:sz w:val="24"/>
        </w:rPr>
      </w:pPr>
      <w:r>
        <w:rPr>
          <w:rFonts w:hint="eastAsia" w:ascii="仿宋" w:hAnsi="仿宋" w:eastAsia="仿宋" w:cs="仿宋"/>
          <w:sz w:val="24"/>
        </w:rPr>
        <w:t>（报价文件必须严格按照以下顺序装订好，并加盖公章或合同章，正本一份，副本一份</w:t>
      </w:r>
      <w:r>
        <w:rPr>
          <w:rFonts w:hint="eastAsia" w:ascii="仿宋" w:hAnsi="仿宋" w:eastAsia="仿宋" w:cs="仿宋"/>
          <w:sz w:val="24"/>
          <w:lang w:eastAsia="zh-CN"/>
        </w:rPr>
        <w:t>，</w:t>
      </w:r>
      <w:r>
        <w:rPr>
          <w:rFonts w:hint="eastAsia" w:ascii="仿宋" w:hAnsi="仿宋" w:eastAsia="仿宋" w:cs="仿宋"/>
          <w:sz w:val="24"/>
          <w:lang w:val="en-US" w:eastAsia="zh-CN"/>
        </w:rPr>
        <w:t>电子版一份。</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1.文件构成目录（须标明页码）；</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.贵公司简介，包括公司基本情况介绍、营业服务范围、团队介绍等；</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.加盖公章的企业资质材料复印件，包括经最新年检的企业营业执照、税务登记证明、企业组织机构代码证等；</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.加盖公章的</w:t>
      </w:r>
      <w:r>
        <w:rPr>
          <w:rFonts w:hint="eastAsia" w:ascii="仿宋" w:hAnsi="仿宋" w:eastAsia="仿宋" w:cs="仿宋"/>
          <w:sz w:val="24"/>
          <w:lang w:val="en-US" w:eastAsia="zh-CN"/>
        </w:rPr>
        <w:t>公司、服务人员</w:t>
      </w:r>
      <w:r>
        <w:rPr>
          <w:rFonts w:hint="eastAsia" w:ascii="仿宋" w:hAnsi="仿宋" w:eastAsia="仿宋" w:cs="仿宋"/>
          <w:sz w:val="24"/>
        </w:rPr>
        <w:t>技术资质材料复印件，包括能证明自己技术能力的资质证书、认证证书</w:t>
      </w:r>
      <w:r>
        <w:rPr>
          <w:rFonts w:hint="eastAsia" w:ascii="仿宋" w:hAnsi="仿宋" w:eastAsia="仿宋" w:cs="仿宋"/>
          <w:sz w:val="24"/>
          <w:lang w:eastAsia="zh-CN"/>
        </w:rPr>
        <w:t>、</w:t>
      </w:r>
      <w:r>
        <w:rPr>
          <w:rFonts w:hint="eastAsia" w:ascii="仿宋" w:hAnsi="仿宋" w:eastAsia="仿宋" w:cs="仿宋"/>
          <w:sz w:val="24"/>
          <w:lang w:val="en-US" w:eastAsia="zh-CN"/>
        </w:rPr>
        <w:t>人员简历</w:t>
      </w:r>
      <w:r>
        <w:rPr>
          <w:rFonts w:hint="eastAsia" w:ascii="仿宋" w:hAnsi="仿宋" w:eastAsia="仿宋" w:cs="仿宋"/>
          <w:sz w:val="24"/>
        </w:rPr>
        <w:t>等；</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.能证明自己信誉、管理水平的</w:t>
      </w:r>
      <w:r>
        <w:rPr>
          <w:rFonts w:hint="eastAsia" w:ascii="仿宋" w:hAnsi="仿宋" w:eastAsia="仿宋" w:cs="仿宋"/>
          <w:sz w:val="24"/>
          <w:lang w:val="en-US" w:eastAsia="zh-CN"/>
        </w:rPr>
        <w:t>其他</w:t>
      </w:r>
      <w:r>
        <w:rPr>
          <w:rFonts w:hint="eastAsia" w:ascii="仿宋" w:hAnsi="仿宋" w:eastAsia="仿宋" w:cs="仿宋"/>
          <w:sz w:val="24"/>
        </w:rPr>
        <w:t>证明文件；</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7.项目实施及售后服务</w:t>
      </w:r>
      <w:r>
        <w:rPr>
          <w:rFonts w:hint="eastAsia" w:ascii="仿宋" w:hAnsi="仿宋" w:eastAsia="仿宋" w:cs="仿宋"/>
          <w:sz w:val="24"/>
          <w:lang w:val="en-US" w:eastAsia="zh-CN"/>
        </w:rPr>
        <w:t>方案；</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8.项目报价单（根据附表1填写；</w:t>
      </w:r>
      <w:r>
        <w:rPr>
          <w:rFonts w:hint="eastAsia" w:ascii="仿宋" w:hAnsi="仿宋" w:eastAsia="仿宋" w:cs="仿宋"/>
          <w:b/>
          <w:bCs/>
          <w:sz w:val="24"/>
        </w:rPr>
        <w:t>授权代表须手写签字，并加盖公章，否则视为无效投标文件</w:t>
      </w:r>
      <w:r>
        <w:rPr>
          <w:rFonts w:hint="eastAsia" w:ascii="仿宋" w:hAnsi="仿宋" w:eastAsia="仿宋" w:cs="仿宋"/>
          <w:sz w:val="24"/>
        </w:rPr>
        <w:t>）</w:t>
      </w:r>
      <w:r>
        <w:rPr>
          <w:rFonts w:hint="eastAsia" w:ascii="仿宋" w:hAnsi="仿宋" w:eastAsia="仿宋" w:cs="仿宋"/>
          <w:sz w:val="24"/>
          <w:lang w:eastAsia="zh-CN"/>
        </w:rPr>
        <w:t>。</w:t>
      </w:r>
    </w:p>
    <w:p>
      <w:pPr>
        <w:numPr>
          <w:ilvl w:val="0"/>
          <w:numId w:val="1"/>
        </w:numPr>
        <w:spacing w:line="360" w:lineRule="auto"/>
        <w:ind w:firstLine="472" w:firstLineChars="196"/>
        <w:outlineLvl w:val="0"/>
        <w:rPr>
          <w:rFonts w:ascii="黑体" w:hAnsi="黑体" w:eastAsia="黑体" w:cs="黑体"/>
          <w:b/>
          <w:sz w:val="24"/>
        </w:rPr>
      </w:pPr>
      <w:r>
        <w:rPr>
          <w:rFonts w:hint="eastAsia" w:ascii="黑体" w:hAnsi="黑体" w:eastAsia="黑体" w:cs="黑体"/>
          <w:b/>
          <w:sz w:val="24"/>
        </w:rPr>
        <w:t>特别提示</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1.请您将</w:t>
      </w:r>
      <w:r>
        <w:rPr>
          <w:rFonts w:hint="eastAsia" w:ascii="仿宋" w:hAnsi="仿宋" w:eastAsia="仿宋" w:cs="仿宋"/>
          <w:bCs/>
          <w:sz w:val="24"/>
          <w:lang w:val="en-US" w:eastAsia="zh-CN"/>
        </w:rPr>
        <w:t>本项目涉及的其他</w:t>
      </w:r>
      <w:r>
        <w:rPr>
          <w:rFonts w:hint="eastAsia" w:ascii="仿宋" w:hAnsi="仿宋" w:eastAsia="仿宋" w:cs="仿宋"/>
          <w:bCs/>
          <w:sz w:val="24"/>
        </w:rPr>
        <w:t>服务所需的费用（如果有）全部计入总报价中，不得单独列出，否则会造成我司无法进行评议，使您的报价错过被选中的机会；</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2.《报价单》须按照规定格式填报，不得修改，否则按不合格报价文件处理；</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3.报价文件需盖章（公章或合同红章）并经授权代表签字后，方可生效；</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.报价文件报送超过规定时间，我公司将不予受理；</w:t>
      </w:r>
    </w:p>
    <w:p>
      <w:pPr>
        <w:widowControl/>
        <w:spacing w:line="360" w:lineRule="auto"/>
        <w:ind w:firstLine="480" w:firstLineChars="200"/>
        <w:jc w:val="left"/>
        <w:rPr>
          <w:rFonts w:hint="eastAsia" w:ascii="仿宋" w:hAnsi="仿宋" w:eastAsia="仿宋" w:cs="仿宋"/>
          <w:bCs/>
          <w:sz w:val="24"/>
          <w:lang w:eastAsia="zh-CN"/>
        </w:rPr>
      </w:pPr>
      <w:r>
        <w:rPr>
          <w:rFonts w:hint="eastAsia" w:ascii="仿宋" w:hAnsi="仿宋" w:eastAsia="仿宋" w:cs="仿宋"/>
          <w:bCs/>
          <w:sz w:val="24"/>
          <w:lang w:val="en-US" w:eastAsia="zh-CN"/>
        </w:rPr>
        <w:t>5</w:t>
      </w:r>
      <w:r>
        <w:rPr>
          <w:rFonts w:hint="eastAsia" w:ascii="仿宋" w:hAnsi="仿宋" w:eastAsia="仿宋" w:cs="仿宋"/>
          <w:bCs/>
          <w:sz w:val="24"/>
        </w:rPr>
        <w:t>.贵公司提交的报价文件务必装订成册并加盖骑缝章</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6.</w:t>
      </w:r>
      <w:r>
        <w:rPr>
          <w:rFonts w:hint="eastAsia" w:ascii="仿宋" w:hAnsi="仿宋" w:eastAsia="仿宋" w:cs="仿宋"/>
          <w:sz w:val="24"/>
        </w:rPr>
        <w:t>供应商在报价文件上提供的报价将作为本项目采购合同的成交价格的重要依据，请审慎报价</w:t>
      </w:r>
      <w:r>
        <w:rPr>
          <w:rFonts w:hint="eastAsia" w:ascii="仿宋" w:hAnsi="仿宋" w:eastAsia="仿宋" w:cs="仿宋"/>
          <w:sz w:val="24"/>
          <w:lang w:eastAsia="zh-CN"/>
        </w:rPr>
        <w:t>；</w:t>
      </w:r>
    </w:p>
    <w:p>
      <w:pPr>
        <w:widowControl/>
        <w:spacing w:line="360" w:lineRule="auto"/>
        <w:ind w:firstLine="480" w:firstLineChars="200"/>
        <w:jc w:val="left"/>
        <w:rPr>
          <w:rFonts w:hint="eastAsia" w:ascii="仿宋" w:hAnsi="仿宋" w:eastAsia="仿宋" w:cs="仿宋"/>
          <w:bCs/>
          <w:sz w:val="24"/>
          <w:lang w:eastAsia="zh-CN"/>
        </w:rPr>
      </w:pPr>
      <w:r>
        <w:rPr>
          <w:rFonts w:hint="eastAsia" w:ascii="仿宋" w:hAnsi="仿宋" w:eastAsia="仿宋" w:cs="仿宋"/>
          <w:sz w:val="24"/>
          <w:lang w:val="en-US" w:eastAsia="zh-CN"/>
        </w:rPr>
        <w:t>7.我司按公司采购流程进行供应商选择，未入围或未中标的供应商不另行通知，对未入围或未中标的原因不给予说明；</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.对于贵公司提供的资料，本公司予以保密，但概不退还。</w:t>
      </w:r>
    </w:p>
    <w:p>
      <w:pPr>
        <w:numPr>
          <w:ilvl w:val="0"/>
          <w:numId w:val="1"/>
        </w:numPr>
        <w:spacing w:line="360" w:lineRule="auto"/>
        <w:ind w:firstLine="472" w:firstLineChars="196"/>
        <w:outlineLvl w:val="0"/>
        <w:rPr>
          <w:rFonts w:hint="eastAsia" w:ascii="黑体" w:hAnsi="黑体" w:eastAsia="黑体" w:cs="黑体"/>
          <w:b/>
          <w:sz w:val="24"/>
        </w:rPr>
      </w:pPr>
      <w:r>
        <w:rPr>
          <w:rFonts w:hint="eastAsia" w:ascii="黑体" w:hAnsi="黑体" w:eastAsia="黑体" w:cs="黑体"/>
          <w:b/>
          <w:sz w:val="24"/>
        </w:rPr>
        <w:t>递交竞价文件期限及地点：</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1.</w:t>
      </w:r>
      <w:r>
        <w:rPr>
          <w:rFonts w:hint="eastAsia" w:ascii="仿宋" w:hAnsi="仿宋" w:eastAsia="仿宋" w:cs="仿宋"/>
          <w:bCs/>
          <w:sz w:val="24"/>
        </w:rPr>
        <w:t>时间：</w:t>
      </w:r>
      <w:r>
        <w:rPr>
          <w:rFonts w:hint="eastAsia" w:ascii="仿宋" w:hAnsi="仿宋" w:eastAsia="仿宋" w:cs="仿宋"/>
          <w:bCs/>
          <w:sz w:val="24"/>
          <w:lang w:val="en-US" w:eastAsia="zh-CN"/>
        </w:rPr>
        <w:t>2024年6月11</w:t>
      </w:r>
      <w:bookmarkStart w:id="0" w:name="_GoBack"/>
      <w:bookmarkEnd w:id="0"/>
      <w:r>
        <w:rPr>
          <w:rFonts w:hint="eastAsia" w:ascii="仿宋" w:hAnsi="仿宋" w:eastAsia="仿宋" w:cs="仿宋"/>
          <w:bCs/>
          <w:sz w:val="24"/>
          <w:lang w:val="en-US" w:eastAsia="zh-CN"/>
        </w:rPr>
        <w:t>日09:00起至6月17日17:00止</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2.地址：</w:t>
      </w:r>
      <w:r>
        <w:rPr>
          <w:rFonts w:hint="eastAsia" w:ascii="仿宋" w:hAnsi="仿宋" w:eastAsia="仿宋" w:cs="仿宋"/>
          <w:bCs/>
          <w:sz w:val="24"/>
        </w:rPr>
        <w:t>上海市静安区共和新路3651号农保大厦</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3.联系人：顾剑斌</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4.联系电话：021-66988359</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5.联系人邮箱：gujianbin@cpic.com.cn</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rPr>
        <w:t>此公告的最终解释权归</w:t>
      </w:r>
      <w:r>
        <w:rPr>
          <w:rFonts w:hint="eastAsia" w:ascii="仿宋" w:hAnsi="仿宋" w:eastAsia="仿宋" w:cs="仿宋"/>
          <w:bCs/>
          <w:sz w:val="24"/>
          <w:lang w:val="en-US" w:eastAsia="zh-CN"/>
        </w:rPr>
        <w:t>太平洋安信农业保险股份有限公司</w:t>
      </w:r>
      <w:r>
        <w:rPr>
          <w:rFonts w:hint="eastAsia" w:ascii="仿宋" w:hAnsi="仿宋" w:eastAsia="仿宋" w:cs="仿宋"/>
          <w:bCs/>
          <w:sz w:val="24"/>
        </w:rPr>
        <w:t>所有。</w:t>
      </w:r>
    </w:p>
    <w:p>
      <w:pPr>
        <w:spacing w:line="360" w:lineRule="auto"/>
        <w:rPr>
          <w:rFonts w:ascii="黑体" w:hAnsi="黑体" w:eastAsia="黑体" w:cs="黑体"/>
          <w:b/>
          <w:sz w:val="24"/>
        </w:rPr>
      </w:pPr>
      <w:r>
        <w:rPr>
          <w:rFonts w:hint="eastAsia" w:ascii="华文细黑" w:hAnsi="华文细黑" w:eastAsia="华文细黑"/>
          <w:b/>
          <w:bCs/>
          <w:sz w:val="24"/>
        </w:rPr>
        <w:br w:type="page"/>
      </w:r>
      <w:r>
        <w:rPr>
          <w:rFonts w:hint="eastAsia" w:ascii="黑体" w:hAnsi="黑体" w:eastAsia="黑体" w:cs="黑体"/>
          <w:b/>
          <w:sz w:val="24"/>
        </w:rPr>
        <w:t>附表1</w:t>
      </w:r>
    </w:p>
    <w:p>
      <w:pPr>
        <w:spacing w:line="360" w:lineRule="auto"/>
        <w:ind w:firstLine="57"/>
        <w:jc w:val="center"/>
        <w:rPr>
          <w:rFonts w:ascii="华文细黑" w:hAnsi="华文细黑" w:eastAsia="华文细黑"/>
          <w:b/>
          <w:bCs/>
          <w:sz w:val="28"/>
          <w:szCs w:val="28"/>
        </w:rPr>
      </w:pPr>
      <w:r>
        <w:rPr>
          <w:rFonts w:hint="eastAsia" w:ascii="华文细黑" w:hAnsi="华文细黑" w:eastAsia="华文细黑"/>
          <w:b/>
          <w:bCs/>
          <w:sz w:val="28"/>
          <w:szCs w:val="28"/>
          <w:lang w:val="en-US" w:eastAsia="zh-CN"/>
        </w:rPr>
        <w:t>太安农险地图平台</w:t>
      </w:r>
      <w:r>
        <w:rPr>
          <w:rFonts w:hint="eastAsia" w:ascii="华文细黑" w:hAnsi="华文细黑" w:eastAsia="华文细黑"/>
          <w:b/>
          <w:bCs/>
          <w:sz w:val="28"/>
          <w:szCs w:val="28"/>
        </w:rPr>
        <w:t>项目报价单</w:t>
      </w:r>
    </w:p>
    <w:p>
      <w:pPr>
        <w:spacing w:line="360" w:lineRule="auto"/>
        <w:rPr>
          <w:rFonts w:ascii="华文细黑" w:hAnsi="华文细黑" w:eastAsia="华文细黑"/>
          <w:szCs w:val="21"/>
          <w:u w:val="single"/>
        </w:rPr>
      </w:pPr>
      <w:r>
        <w:rPr>
          <w:rFonts w:ascii="华文细黑" w:hAnsi="华文细黑" w:eastAsia="华文细黑"/>
          <w:b/>
          <w:szCs w:val="21"/>
        </w:rPr>
        <w:t>报价人</w:t>
      </w:r>
      <w:r>
        <w:rPr>
          <w:rFonts w:ascii="华文细黑" w:hAnsi="华文细黑" w:eastAsia="华文细黑"/>
          <w:szCs w:val="21"/>
        </w:rPr>
        <w:t>:</w:t>
      </w:r>
      <w:r>
        <w:rPr>
          <w:rFonts w:ascii="华文细黑" w:hAnsi="华文细黑" w:eastAsia="华文细黑"/>
          <w:szCs w:val="21"/>
          <w:u w:val="single"/>
        </w:rPr>
        <w:t xml:space="preserve">                       </w:t>
      </w:r>
      <w:r>
        <w:rPr>
          <w:rFonts w:ascii="华文细黑" w:hAnsi="华文细黑" w:eastAsia="华文细黑"/>
          <w:szCs w:val="21"/>
        </w:rPr>
        <w:t>公司</w:t>
      </w:r>
    </w:p>
    <w:p>
      <w:pPr>
        <w:spacing w:line="360" w:lineRule="auto"/>
        <w:rPr>
          <w:rFonts w:ascii="华文细黑" w:hAnsi="华文细黑" w:eastAsia="华文细黑"/>
          <w:szCs w:val="21"/>
          <w:u w:val="single"/>
        </w:rPr>
      </w:pPr>
      <w:r>
        <w:rPr>
          <w:rFonts w:ascii="华文细黑" w:hAnsi="华文细黑" w:eastAsia="华文细黑"/>
          <w:b/>
          <w:szCs w:val="21"/>
        </w:rPr>
        <w:t xml:space="preserve">联系人: </w:t>
      </w:r>
      <w:r>
        <w:rPr>
          <w:rFonts w:ascii="华文细黑" w:hAnsi="华文细黑" w:eastAsia="华文细黑"/>
          <w:b/>
          <w:szCs w:val="21"/>
          <w:u w:val="single"/>
        </w:rPr>
        <w:t xml:space="preserve">                      </w:t>
      </w:r>
    </w:p>
    <w:p>
      <w:pPr>
        <w:spacing w:line="360" w:lineRule="auto"/>
        <w:rPr>
          <w:rFonts w:ascii="华文细黑" w:hAnsi="华文细黑" w:eastAsia="华文细黑"/>
          <w:szCs w:val="21"/>
          <w:u w:val="single"/>
        </w:rPr>
      </w:pPr>
      <w:r>
        <w:rPr>
          <w:rFonts w:ascii="华文细黑" w:hAnsi="华文细黑" w:eastAsia="华文细黑"/>
          <w:b/>
          <w:szCs w:val="21"/>
        </w:rPr>
        <w:t>联系电话</w:t>
      </w:r>
      <w:r>
        <w:rPr>
          <w:rFonts w:ascii="华文细黑" w:hAnsi="华文细黑" w:eastAsia="华文细黑"/>
          <w:szCs w:val="21"/>
        </w:rPr>
        <w:t>:</w:t>
      </w:r>
      <w:r>
        <w:rPr>
          <w:rFonts w:ascii="华文细黑" w:hAnsi="华文细黑" w:eastAsia="华文细黑"/>
          <w:szCs w:val="21"/>
          <w:u w:val="single"/>
        </w:rPr>
        <w:t xml:space="preserve">                       </w:t>
      </w:r>
    </w:p>
    <w:p>
      <w:pPr>
        <w:spacing w:line="700" w:lineRule="exact"/>
        <w:rPr>
          <w:rFonts w:ascii="华文细黑" w:hAnsi="华文细黑" w:eastAsia="华文细黑"/>
          <w:b/>
          <w:bCs/>
          <w:sz w:val="28"/>
          <w:szCs w:val="28"/>
        </w:rPr>
      </w:pPr>
      <w:r>
        <w:rPr>
          <w:rFonts w:ascii="华文细黑" w:hAnsi="华文细黑" w:eastAsia="华文细黑"/>
          <w:szCs w:val="21"/>
        </w:rPr>
        <w:t>回应贵公司的</w:t>
      </w:r>
      <w:r>
        <w:rPr>
          <w:rFonts w:hint="eastAsia" w:ascii="华文细黑" w:hAnsi="华文细黑" w:eastAsia="华文细黑"/>
          <w:szCs w:val="21"/>
          <w:lang w:val="en-US" w:eastAsia="zh-CN"/>
        </w:rPr>
        <w:t>竞价公告</w:t>
      </w:r>
      <w:r>
        <w:rPr>
          <w:rFonts w:ascii="华文细黑" w:hAnsi="华文细黑" w:eastAsia="华文细黑"/>
          <w:szCs w:val="21"/>
        </w:rPr>
        <w:t>，我公司报价如下：</w:t>
      </w:r>
    </w:p>
    <w:tbl>
      <w:tblPr>
        <w:tblStyle w:val="9"/>
        <w:tblW w:w="8852" w:type="dxa"/>
        <w:tblInd w:w="-118" w:type="dxa"/>
        <w:tblLayout w:type="fixed"/>
        <w:tblCellMar>
          <w:top w:w="0" w:type="dxa"/>
          <w:left w:w="108" w:type="dxa"/>
          <w:bottom w:w="0" w:type="dxa"/>
          <w:right w:w="108" w:type="dxa"/>
        </w:tblCellMar>
      </w:tblPr>
      <w:tblGrid>
        <w:gridCol w:w="1808"/>
        <w:gridCol w:w="2495"/>
        <w:gridCol w:w="772"/>
        <w:gridCol w:w="1657"/>
        <w:gridCol w:w="860"/>
        <w:gridCol w:w="1260"/>
      </w:tblGrid>
      <w:tr>
        <w:tblPrEx>
          <w:tblCellMar>
            <w:top w:w="0" w:type="dxa"/>
            <w:left w:w="108" w:type="dxa"/>
            <w:bottom w:w="0" w:type="dxa"/>
            <w:right w:w="108" w:type="dxa"/>
          </w:tblCellMar>
        </w:tblPrEx>
        <w:trPr>
          <w:trHeight w:val="405" w:hRule="atLeast"/>
        </w:trPr>
        <w:tc>
          <w:tcPr>
            <w:tcW w:w="1808" w:type="dxa"/>
            <w:tcBorders>
              <w:top w:val="single" w:color="auto" w:sz="8" w:space="0"/>
              <w:left w:val="single" w:color="auto" w:sz="8" w:space="0"/>
              <w:bottom w:val="single" w:color="auto" w:sz="8" w:space="0"/>
              <w:right w:val="single" w:color="auto" w:sz="8" w:space="0"/>
            </w:tcBorders>
            <w:vAlign w:val="bottom"/>
          </w:tcPr>
          <w:p>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服务名称</w:t>
            </w:r>
          </w:p>
        </w:tc>
        <w:tc>
          <w:tcPr>
            <w:tcW w:w="2495" w:type="dxa"/>
            <w:tcBorders>
              <w:top w:val="single" w:color="auto" w:sz="8" w:space="0"/>
              <w:left w:val="nil"/>
              <w:bottom w:val="single" w:color="auto" w:sz="8" w:space="0"/>
              <w:right w:val="single" w:color="auto" w:sz="8" w:space="0"/>
            </w:tcBorders>
            <w:vAlign w:val="bottom"/>
          </w:tcPr>
          <w:p>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lang w:val="en-US" w:eastAsia="zh-CN"/>
              </w:rPr>
              <w:t>功能</w:t>
            </w:r>
          </w:p>
        </w:tc>
        <w:tc>
          <w:tcPr>
            <w:tcW w:w="772" w:type="dxa"/>
            <w:tcBorders>
              <w:top w:val="single" w:color="auto" w:sz="8" w:space="0"/>
              <w:left w:val="nil"/>
              <w:bottom w:val="single" w:color="auto" w:sz="8" w:space="0"/>
              <w:right w:val="single" w:color="auto" w:sz="8" w:space="0"/>
            </w:tcBorders>
            <w:vAlign w:val="bottom"/>
          </w:tcPr>
          <w:p>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lang w:val="en-US" w:eastAsia="zh-CN"/>
              </w:rPr>
              <w:t>单价</w:t>
            </w:r>
          </w:p>
        </w:tc>
        <w:tc>
          <w:tcPr>
            <w:tcW w:w="1657" w:type="dxa"/>
            <w:tcBorders>
              <w:top w:val="single" w:color="auto" w:sz="8" w:space="0"/>
              <w:left w:val="nil"/>
              <w:bottom w:val="single" w:color="auto" w:sz="8" w:space="0"/>
              <w:right w:val="single" w:color="auto" w:sz="8" w:space="0"/>
            </w:tcBorders>
            <w:vAlign w:val="bottom"/>
          </w:tcPr>
          <w:p>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数量</w:t>
            </w:r>
            <w:r>
              <w:rPr>
                <w:rFonts w:hint="eastAsia" w:ascii="华文细黑" w:hAnsi="华文细黑" w:eastAsia="华文细黑" w:cs="宋体"/>
                <w:b/>
                <w:bCs/>
                <w:kern w:val="0"/>
                <w:sz w:val="24"/>
                <w:lang w:eastAsia="zh-CN"/>
              </w:rPr>
              <w:t>（</w:t>
            </w:r>
            <w:r>
              <w:rPr>
                <w:rFonts w:hint="eastAsia" w:ascii="华文细黑" w:hAnsi="华文细黑" w:eastAsia="华文细黑" w:cs="宋体"/>
                <w:b/>
                <w:bCs/>
                <w:kern w:val="0"/>
                <w:sz w:val="24"/>
                <w:lang w:val="en-US" w:eastAsia="zh-CN"/>
              </w:rPr>
              <w:t>人/月</w:t>
            </w:r>
            <w:r>
              <w:rPr>
                <w:rFonts w:hint="eastAsia" w:ascii="华文细黑" w:hAnsi="华文细黑" w:eastAsia="华文细黑" w:cs="宋体"/>
                <w:b/>
                <w:bCs/>
                <w:kern w:val="0"/>
                <w:sz w:val="24"/>
                <w:lang w:eastAsia="zh-CN"/>
              </w:rPr>
              <w:t>）</w:t>
            </w:r>
          </w:p>
        </w:tc>
        <w:tc>
          <w:tcPr>
            <w:tcW w:w="860" w:type="dxa"/>
            <w:tcBorders>
              <w:top w:val="single" w:color="auto" w:sz="8" w:space="0"/>
              <w:left w:val="nil"/>
              <w:bottom w:val="single" w:color="auto" w:sz="8" w:space="0"/>
              <w:right w:val="single" w:color="auto" w:sz="8" w:space="0"/>
            </w:tcBorders>
            <w:vAlign w:val="bottom"/>
          </w:tcPr>
          <w:p>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价格</w:t>
            </w:r>
          </w:p>
        </w:tc>
        <w:tc>
          <w:tcPr>
            <w:tcW w:w="1260" w:type="dxa"/>
            <w:tcBorders>
              <w:top w:val="single" w:color="auto" w:sz="8" w:space="0"/>
              <w:left w:val="nil"/>
              <w:bottom w:val="single" w:color="auto" w:sz="8" w:space="0"/>
              <w:right w:val="single" w:color="auto" w:sz="8" w:space="0"/>
            </w:tcBorders>
            <w:vAlign w:val="bottom"/>
          </w:tcPr>
          <w:p>
            <w:pPr>
              <w:widowControl/>
              <w:jc w:val="center"/>
              <w:rPr>
                <w:rFonts w:ascii="华文细黑" w:hAnsi="华文细黑" w:eastAsia="华文细黑" w:cs="宋体"/>
                <w:b/>
                <w:bCs/>
                <w:kern w:val="0"/>
                <w:sz w:val="24"/>
              </w:rPr>
            </w:pPr>
            <w:r>
              <w:rPr>
                <w:rFonts w:hint="eastAsia" w:ascii="华文细黑" w:hAnsi="华文细黑" w:eastAsia="华文细黑" w:cs="宋体"/>
                <w:b/>
                <w:bCs/>
                <w:kern w:val="0"/>
                <w:sz w:val="24"/>
              </w:rPr>
              <w:t>补充说明</w:t>
            </w:r>
          </w:p>
        </w:tc>
      </w:tr>
      <w:tr>
        <w:tblPrEx>
          <w:tblCellMar>
            <w:top w:w="0" w:type="dxa"/>
            <w:left w:w="108" w:type="dxa"/>
            <w:bottom w:w="0" w:type="dxa"/>
            <w:right w:w="108" w:type="dxa"/>
          </w:tblCellMar>
        </w:tblPrEx>
        <w:trPr>
          <w:trHeight w:val="285" w:hRule="atLeast"/>
        </w:trPr>
        <w:tc>
          <w:tcPr>
            <w:tcW w:w="1808" w:type="dxa"/>
            <w:vMerge w:val="restart"/>
            <w:tcBorders>
              <w:top w:val="nil"/>
              <w:left w:val="single" w:color="auto" w:sz="8" w:space="0"/>
              <w:bottom w:val="single" w:color="000000" w:sz="8" w:space="0"/>
              <w:right w:val="single" w:color="auto" w:sz="8" w:space="0"/>
            </w:tcBorders>
            <w:vAlign w:val="bottom"/>
          </w:tcPr>
          <w:p>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rPr>
              <w:t>（请填写相关服务条目）</w:t>
            </w:r>
          </w:p>
        </w:tc>
        <w:tc>
          <w:tcPr>
            <w:tcW w:w="2495" w:type="dxa"/>
            <w:tcBorders>
              <w:top w:val="nil"/>
              <w:left w:val="nil"/>
              <w:bottom w:val="single" w:color="000000" w:sz="8" w:space="0"/>
              <w:right w:val="single" w:color="auto" w:sz="8" w:space="0"/>
            </w:tcBorders>
            <w:vAlign w:val="bottom"/>
          </w:tcPr>
          <w:p>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000000" w:sz="8" w:space="0"/>
              <w:right w:val="single" w:color="auto" w:sz="8"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1657" w:type="dxa"/>
            <w:tcBorders>
              <w:top w:val="nil"/>
              <w:left w:val="nil"/>
              <w:bottom w:val="single" w:color="000000" w:sz="8" w:space="0"/>
              <w:right w:val="single" w:color="auto" w:sz="8"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860" w:type="dxa"/>
            <w:tcBorders>
              <w:top w:val="nil"/>
              <w:left w:val="nil"/>
              <w:bottom w:val="single" w:color="000000" w:sz="8" w:space="0"/>
              <w:right w:val="single" w:color="auto" w:sz="8" w:space="0"/>
            </w:tcBorders>
            <w:vAlign w:val="bottom"/>
          </w:tcPr>
          <w:p>
            <w:pPr>
              <w:widowControl/>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000000" w:sz="8" w:space="0"/>
              <w:right w:val="single" w:color="auto" w:sz="8"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5" w:hRule="atLeast"/>
        </w:trPr>
        <w:tc>
          <w:tcPr>
            <w:tcW w:w="1808" w:type="dxa"/>
            <w:vMerge w:val="continue"/>
            <w:tcBorders>
              <w:top w:val="nil"/>
              <w:left w:val="single" w:color="auto" w:sz="8" w:space="0"/>
              <w:bottom w:val="single" w:color="000000" w:sz="8" w:space="0"/>
              <w:right w:val="single" w:color="auto" w:sz="8" w:space="0"/>
            </w:tcBorders>
            <w:vAlign w:val="center"/>
          </w:tcPr>
          <w:p>
            <w:pPr>
              <w:widowControl/>
              <w:jc w:val="left"/>
              <w:rPr>
                <w:rFonts w:ascii="华文细黑" w:hAnsi="华文细黑" w:eastAsia="华文细黑" w:cs="宋体"/>
                <w:kern w:val="0"/>
                <w:sz w:val="20"/>
                <w:szCs w:val="20"/>
              </w:rPr>
            </w:pPr>
          </w:p>
        </w:tc>
        <w:tc>
          <w:tcPr>
            <w:tcW w:w="2495" w:type="dxa"/>
            <w:tcBorders>
              <w:top w:val="nil"/>
              <w:left w:val="nil"/>
              <w:bottom w:val="single" w:color="auto" w:sz="8" w:space="0"/>
              <w:right w:val="single" w:color="auto" w:sz="8" w:space="0"/>
            </w:tcBorders>
            <w:vAlign w:val="bottom"/>
          </w:tcPr>
          <w:p>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auto" w:sz="8" w:space="0"/>
              <w:right w:val="single" w:color="auto" w:sz="8" w:space="0"/>
            </w:tcBorders>
            <w:vAlign w:val="bottom"/>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657" w:type="dxa"/>
            <w:tcBorders>
              <w:top w:val="nil"/>
              <w:left w:val="nil"/>
              <w:bottom w:val="single" w:color="auto" w:sz="8" w:space="0"/>
              <w:right w:val="single" w:color="auto" w:sz="8" w:space="0"/>
            </w:tcBorders>
            <w:vAlign w:val="bottom"/>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860" w:type="dxa"/>
            <w:tcBorders>
              <w:top w:val="nil"/>
              <w:left w:val="nil"/>
              <w:bottom w:val="single" w:color="auto" w:sz="8" w:space="0"/>
              <w:right w:val="single" w:color="auto" w:sz="8" w:space="0"/>
            </w:tcBorders>
            <w:vAlign w:val="bottom"/>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CellMar>
            <w:top w:w="0" w:type="dxa"/>
            <w:left w:w="108" w:type="dxa"/>
            <w:bottom w:w="0" w:type="dxa"/>
            <w:right w:w="108" w:type="dxa"/>
          </w:tblCellMar>
        </w:tblPrEx>
        <w:trPr>
          <w:trHeight w:val="285" w:hRule="atLeast"/>
        </w:trPr>
        <w:tc>
          <w:tcPr>
            <w:tcW w:w="1808" w:type="dxa"/>
            <w:vMerge w:val="continue"/>
            <w:tcBorders>
              <w:top w:val="nil"/>
              <w:left w:val="single" w:color="auto" w:sz="8" w:space="0"/>
              <w:bottom w:val="single" w:color="000000" w:sz="8" w:space="0"/>
              <w:right w:val="single" w:color="auto" w:sz="8" w:space="0"/>
            </w:tcBorders>
            <w:vAlign w:val="center"/>
          </w:tcPr>
          <w:p>
            <w:pPr>
              <w:widowControl/>
              <w:jc w:val="left"/>
              <w:rPr>
                <w:rFonts w:ascii="华文细黑" w:hAnsi="华文细黑" w:eastAsia="华文细黑" w:cs="宋体"/>
                <w:kern w:val="0"/>
                <w:sz w:val="20"/>
                <w:szCs w:val="20"/>
              </w:rPr>
            </w:pPr>
          </w:p>
        </w:tc>
        <w:tc>
          <w:tcPr>
            <w:tcW w:w="2495" w:type="dxa"/>
            <w:tcBorders>
              <w:top w:val="nil"/>
              <w:left w:val="nil"/>
              <w:bottom w:val="single" w:color="auto" w:sz="8" w:space="0"/>
              <w:right w:val="single" w:color="auto" w:sz="8" w:space="0"/>
            </w:tcBorders>
            <w:vAlign w:val="bottom"/>
          </w:tcPr>
          <w:p>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772" w:type="dxa"/>
            <w:tcBorders>
              <w:top w:val="nil"/>
              <w:left w:val="nil"/>
              <w:bottom w:val="single" w:color="auto" w:sz="8" w:space="0"/>
              <w:right w:val="single" w:color="auto" w:sz="8" w:space="0"/>
            </w:tcBorders>
            <w:vAlign w:val="bottom"/>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657" w:type="dxa"/>
            <w:tcBorders>
              <w:top w:val="nil"/>
              <w:left w:val="nil"/>
              <w:bottom w:val="single" w:color="auto" w:sz="8" w:space="0"/>
              <w:right w:val="single" w:color="auto" w:sz="8" w:space="0"/>
            </w:tcBorders>
            <w:vAlign w:val="bottom"/>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860" w:type="dxa"/>
            <w:tcBorders>
              <w:top w:val="nil"/>
              <w:left w:val="nil"/>
              <w:bottom w:val="single" w:color="auto" w:sz="8" w:space="0"/>
              <w:right w:val="single" w:color="auto" w:sz="8" w:space="0"/>
            </w:tcBorders>
            <w:vAlign w:val="bottom"/>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c>
          <w:tcPr>
            <w:tcW w:w="1260" w:type="dxa"/>
            <w:tcBorders>
              <w:top w:val="nil"/>
              <w:left w:val="nil"/>
              <w:bottom w:val="single" w:color="auto" w:sz="8" w:space="0"/>
              <w:right w:val="single" w:color="auto" w:sz="8" w:space="0"/>
            </w:tcBorders>
            <w:vAlign w:val="bottom"/>
          </w:tcPr>
          <w:p>
            <w:pPr>
              <w:widowControl/>
              <w:jc w:val="left"/>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CellMar>
            <w:top w:w="0" w:type="dxa"/>
            <w:left w:w="108" w:type="dxa"/>
            <w:bottom w:w="0" w:type="dxa"/>
            <w:right w:w="108" w:type="dxa"/>
          </w:tblCellMar>
        </w:tblPrEx>
        <w:trPr>
          <w:trHeight w:val="780" w:hRule="atLeast"/>
        </w:trPr>
        <w:tc>
          <w:tcPr>
            <w:tcW w:w="1808" w:type="dxa"/>
            <w:tcBorders>
              <w:top w:val="nil"/>
              <w:left w:val="single" w:color="auto" w:sz="8" w:space="0"/>
              <w:bottom w:val="single" w:color="auto" w:sz="8" w:space="0"/>
              <w:right w:val="single" w:color="auto" w:sz="8" w:space="0"/>
            </w:tcBorders>
            <w:vAlign w:val="bottom"/>
          </w:tcPr>
          <w:p>
            <w:pPr>
              <w:widowControl/>
              <w:jc w:val="center"/>
              <w:rPr>
                <w:rFonts w:ascii="华文细黑" w:hAnsi="华文细黑" w:eastAsia="华文细黑" w:cs="宋体"/>
                <w:kern w:val="0"/>
                <w:szCs w:val="21"/>
              </w:rPr>
            </w:pPr>
            <w:r>
              <w:rPr>
                <w:rFonts w:hint="eastAsia" w:ascii="华文细黑" w:hAnsi="华文细黑" w:eastAsia="华文细黑" w:cs="宋体"/>
                <w:kern w:val="0"/>
                <w:szCs w:val="21"/>
              </w:rPr>
              <w:t>厂家免费提供的其他服务</w:t>
            </w:r>
          </w:p>
        </w:tc>
        <w:tc>
          <w:tcPr>
            <w:tcW w:w="7044" w:type="dxa"/>
            <w:gridSpan w:val="5"/>
            <w:tcBorders>
              <w:top w:val="single" w:color="auto" w:sz="8" w:space="0"/>
              <w:left w:val="nil"/>
              <w:bottom w:val="single" w:color="auto" w:sz="8" w:space="0"/>
              <w:right w:val="single" w:color="000000" w:sz="8" w:space="0"/>
            </w:tcBorders>
            <w:vAlign w:val="bottom"/>
          </w:tcPr>
          <w:p>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　</w:t>
            </w:r>
          </w:p>
        </w:tc>
      </w:tr>
      <w:tr>
        <w:tblPrEx>
          <w:tblCellMar>
            <w:top w:w="0" w:type="dxa"/>
            <w:left w:w="108" w:type="dxa"/>
            <w:bottom w:w="0" w:type="dxa"/>
            <w:right w:w="108" w:type="dxa"/>
          </w:tblCellMar>
        </w:tblPrEx>
        <w:trPr>
          <w:trHeight w:val="1473" w:hRule="atLeast"/>
        </w:trPr>
        <w:tc>
          <w:tcPr>
            <w:tcW w:w="1808" w:type="dxa"/>
            <w:tcBorders>
              <w:top w:val="nil"/>
              <w:left w:val="single" w:color="auto" w:sz="8" w:space="0"/>
              <w:bottom w:val="single" w:color="auto" w:sz="8" w:space="0"/>
              <w:right w:val="single" w:color="auto" w:sz="8" w:space="0"/>
            </w:tcBorders>
            <w:vAlign w:val="bottom"/>
          </w:tcPr>
          <w:p>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项目总报价（</w:t>
            </w:r>
            <w:r>
              <w:rPr>
                <w:rFonts w:hint="eastAsia" w:ascii="华文细黑" w:hAnsi="华文细黑" w:eastAsia="华文细黑" w:cs="宋体"/>
                <w:kern w:val="0"/>
                <w:szCs w:val="21"/>
              </w:rPr>
              <w:t>含贵公司在</w:t>
            </w:r>
            <w:r>
              <w:rPr>
                <w:rFonts w:hint="eastAsia" w:ascii="华文细黑" w:hAnsi="华文细黑" w:eastAsia="华文细黑" w:cs="宋体"/>
                <w:kern w:val="0"/>
                <w:szCs w:val="21"/>
                <w:lang w:val="en-US" w:eastAsia="zh-CN"/>
              </w:rPr>
              <w:t>竞价公告</w:t>
            </w:r>
            <w:r>
              <w:rPr>
                <w:rFonts w:hint="eastAsia" w:ascii="华文细黑" w:hAnsi="华文细黑" w:eastAsia="华文细黑" w:cs="宋体"/>
                <w:kern w:val="0"/>
                <w:szCs w:val="21"/>
              </w:rPr>
              <w:t>项下的一切设备和服务的</w:t>
            </w:r>
            <w:r>
              <w:rPr>
                <w:rFonts w:hint="eastAsia" w:ascii="华文细黑" w:hAnsi="华文细黑" w:eastAsia="华文细黑" w:cs="宋体"/>
                <w:kern w:val="0"/>
                <w:szCs w:val="21"/>
                <w:lang w:val="en-US" w:eastAsia="zh-CN"/>
              </w:rPr>
              <w:t>含税</w:t>
            </w:r>
            <w:r>
              <w:rPr>
                <w:rFonts w:hint="eastAsia" w:ascii="华文细黑" w:hAnsi="华文细黑" w:eastAsia="华文细黑" w:cs="宋体"/>
                <w:kern w:val="0"/>
                <w:szCs w:val="21"/>
              </w:rPr>
              <w:t>价款）</w:t>
            </w:r>
          </w:p>
        </w:tc>
        <w:tc>
          <w:tcPr>
            <w:tcW w:w="7044" w:type="dxa"/>
            <w:gridSpan w:val="5"/>
            <w:tcBorders>
              <w:top w:val="single" w:color="auto" w:sz="8" w:space="0"/>
              <w:left w:val="nil"/>
              <w:bottom w:val="single" w:color="auto" w:sz="8" w:space="0"/>
              <w:right w:val="single" w:color="000000" w:sz="8" w:space="0"/>
            </w:tcBorders>
            <w:vAlign w:val="bottom"/>
          </w:tcPr>
          <w:p>
            <w:pPr>
              <w:widowControl/>
              <w:rPr>
                <w:rFonts w:ascii="华文细黑" w:hAnsi="华文细黑" w:eastAsia="华文细黑" w:cs="宋体"/>
                <w:b/>
                <w:bCs/>
                <w:kern w:val="0"/>
                <w:szCs w:val="21"/>
              </w:rPr>
            </w:pPr>
            <w:r>
              <w:rPr>
                <w:rFonts w:hint="eastAsia" w:ascii="华文细黑" w:hAnsi="华文细黑" w:eastAsia="华文细黑" w:cs="宋体"/>
                <w:b/>
                <w:bCs/>
                <w:kern w:val="0"/>
                <w:szCs w:val="21"/>
              </w:rPr>
              <w:t>大写：人民币</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（小写￥</w:t>
            </w:r>
            <w:r>
              <w:rPr>
                <w:rFonts w:hint="eastAsia" w:ascii="华文细黑" w:hAnsi="华文细黑" w:eastAsia="华文细黑" w:cs="宋体"/>
                <w:b/>
                <w:bCs/>
                <w:kern w:val="0"/>
                <w:szCs w:val="21"/>
                <w:u w:val="single"/>
              </w:rPr>
              <w:t xml:space="preserve">           </w:t>
            </w:r>
            <w:r>
              <w:rPr>
                <w:rFonts w:hint="eastAsia" w:ascii="华文细黑" w:hAnsi="华文细黑" w:eastAsia="华文细黑" w:cs="宋体"/>
                <w:b/>
                <w:bCs/>
                <w:kern w:val="0"/>
                <w:szCs w:val="21"/>
              </w:rPr>
              <w:t xml:space="preserve"> ）</w:t>
            </w:r>
          </w:p>
        </w:tc>
      </w:tr>
    </w:tbl>
    <w:p>
      <w:pPr>
        <w:pStyle w:val="8"/>
        <w:adjustRightInd w:val="0"/>
        <w:snapToGrid w:val="0"/>
        <w:spacing w:before="0" w:beforeAutospacing="0" w:after="0" w:afterAutospacing="0" w:line="0" w:lineRule="atLeast"/>
        <w:ind w:firstLine="420"/>
        <w:rPr>
          <w:rFonts w:ascii="华文细黑" w:hAnsi="华文细黑" w:eastAsia="华文细黑"/>
          <w:sz w:val="21"/>
          <w:szCs w:val="21"/>
        </w:rPr>
      </w:pPr>
    </w:p>
    <w:p>
      <w:pPr>
        <w:pStyle w:val="8"/>
        <w:adjustRightInd w:val="0"/>
        <w:snapToGrid w:val="0"/>
        <w:spacing w:before="0" w:beforeAutospacing="0" w:after="0" w:afterAutospacing="0" w:line="0" w:lineRule="atLeast"/>
        <w:ind w:firstLine="420"/>
        <w:rPr>
          <w:rFonts w:hint="eastAsia" w:ascii="华文细黑" w:hAnsi="华文细黑" w:eastAsia="华文细黑"/>
          <w:sz w:val="21"/>
          <w:szCs w:val="21"/>
        </w:rPr>
      </w:pPr>
      <w:r>
        <w:rPr>
          <w:rFonts w:hint="eastAsia" w:ascii="华文细黑" w:hAnsi="华文细黑" w:eastAsia="华文细黑"/>
          <w:sz w:val="21"/>
          <w:szCs w:val="21"/>
        </w:rPr>
        <w:t>本公司已阅读并完全理解贵公司</w:t>
      </w:r>
      <w:r>
        <w:rPr>
          <w:rFonts w:hint="eastAsia" w:ascii="华文细黑" w:hAnsi="华文细黑" w:eastAsia="华文细黑"/>
          <w:sz w:val="21"/>
          <w:szCs w:val="21"/>
          <w:lang w:val="en-US" w:eastAsia="zh-CN"/>
        </w:rPr>
        <w:t>竞价公告</w:t>
      </w:r>
      <w:r>
        <w:rPr>
          <w:rFonts w:hint="eastAsia" w:ascii="华文细黑" w:hAnsi="华文细黑" w:eastAsia="华文细黑"/>
          <w:sz w:val="21"/>
          <w:szCs w:val="21"/>
        </w:rPr>
        <w:t>的全部内容，本公司承诺对</w:t>
      </w:r>
      <w:r>
        <w:rPr>
          <w:rFonts w:hint="eastAsia" w:ascii="华文细黑" w:hAnsi="华文细黑" w:eastAsia="华文细黑"/>
          <w:sz w:val="21"/>
          <w:szCs w:val="21"/>
          <w:lang w:val="en-US" w:eastAsia="zh-CN"/>
        </w:rPr>
        <w:t>项目采购需求、服务要求、项目周期、资格要求</w:t>
      </w:r>
      <w:r>
        <w:rPr>
          <w:rFonts w:hint="eastAsia" w:ascii="华文细黑" w:hAnsi="华文细黑" w:eastAsia="华文细黑"/>
          <w:sz w:val="21"/>
          <w:szCs w:val="21"/>
        </w:rPr>
        <w:t>以及特别</w:t>
      </w:r>
      <w:r>
        <w:rPr>
          <w:rFonts w:hint="eastAsia" w:ascii="华文细黑" w:hAnsi="华文细黑" w:eastAsia="华文细黑"/>
          <w:sz w:val="21"/>
          <w:szCs w:val="21"/>
          <w:lang w:val="en-US" w:eastAsia="zh-CN"/>
        </w:rPr>
        <w:t>说明</w:t>
      </w:r>
      <w:r>
        <w:rPr>
          <w:rFonts w:hint="eastAsia" w:ascii="华文细黑" w:hAnsi="华文细黑" w:eastAsia="华文细黑"/>
          <w:sz w:val="21"/>
          <w:szCs w:val="21"/>
        </w:rPr>
        <w:t>中的所有要求均能满足。本公司确认以上内容情况属实。</w:t>
      </w:r>
    </w:p>
    <w:p>
      <w:pPr>
        <w:pStyle w:val="8"/>
        <w:adjustRightInd w:val="0"/>
        <w:snapToGrid w:val="0"/>
        <w:spacing w:before="0" w:beforeAutospacing="0" w:after="0" w:afterAutospacing="0" w:line="0" w:lineRule="atLeast"/>
        <w:ind w:firstLine="420"/>
        <w:rPr>
          <w:rFonts w:hint="eastAsia" w:ascii="华文细黑" w:hAnsi="华文细黑" w:eastAsia="华文细黑"/>
          <w:sz w:val="21"/>
          <w:szCs w:val="21"/>
        </w:rPr>
      </w:pPr>
    </w:p>
    <w:p>
      <w:pPr>
        <w:pStyle w:val="8"/>
        <w:adjustRightInd w:val="0"/>
        <w:snapToGrid w:val="0"/>
        <w:spacing w:before="0" w:beforeAutospacing="0" w:after="0" w:afterAutospacing="0" w:line="0" w:lineRule="atLeast"/>
        <w:ind w:firstLine="420"/>
        <w:rPr>
          <w:rFonts w:hint="eastAsia" w:ascii="华文细黑" w:hAnsi="华文细黑" w:eastAsia="华文细黑"/>
          <w:sz w:val="21"/>
          <w:szCs w:val="21"/>
        </w:rPr>
      </w:pPr>
    </w:p>
    <w:p>
      <w:pPr>
        <w:spacing w:line="0" w:lineRule="atLeast"/>
        <w:ind w:left="417"/>
        <w:rPr>
          <w:rFonts w:ascii="华文细黑" w:hAnsi="华文细黑" w:eastAsia="华文细黑"/>
          <w:b/>
          <w:bCs/>
          <w:szCs w:val="21"/>
        </w:rPr>
      </w:pPr>
      <w:r>
        <w:rPr>
          <w:rFonts w:hint="eastAsia" w:ascii="华文细黑" w:hAnsi="华文细黑" w:eastAsia="华文细黑"/>
          <w:b/>
          <w:szCs w:val="21"/>
        </w:rPr>
        <w:t>授权代表签字：</w:t>
      </w:r>
      <w:r>
        <w:rPr>
          <w:rFonts w:hint="eastAsia" w:ascii="华文细黑" w:hAnsi="华文细黑" w:eastAsia="华文细黑"/>
          <w:b/>
          <w:szCs w:val="21"/>
          <w:u w:val="single"/>
        </w:rPr>
        <w:t xml:space="preserve">               </w:t>
      </w:r>
      <w:r>
        <w:rPr>
          <w:rFonts w:hint="eastAsia" w:ascii="华文细黑" w:hAnsi="华文细黑" w:eastAsia="华文细黑"/>
          <w:b/>
          <w:szCs w:val="21"/>
        </w:rPr>
        <w:t xml:space="preserve">   单位（盖章）    年   月   日</w:t>
      </w:r>
    </w:p>
    <w:p>
      <w:pPr>
        <w:spacing w:line="0" w:lineRule="atLeast"/>
        <w:ind w:left="417"/>
        <w:rPr>
          <w:rFonts w:ascii="华文细黑" w:hAnsi="华文细黑" w:eastAsia="华文细黑"/>
          <w:b/>
          <w:bCs/>
          <w:szCs w:val="21"/>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jc w:val="center"/>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太平洋安信农业保险股份有限公司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C3F36"/>
    <w:multiLevelType w:val="singleLevel"/>
    <w:tmpl w:val="D3BC3F36"/>
    <w:lvl w:ilvl="0" w:tentative="0">
      <w:start w:val="1"/>
      <w:numFmt w:val="chineseCounting"/>
      <w:suff w:val="nothing"/>
      <w:lvlText w:val="%1、"/>
      <w:lvlJc w:val="left"/>
      <w:rPr>
        <w:rFonts w:hint="eastAsia"/>
      </w:rPr>
    </w:lvl>
  </w:abstractNum>
  <w:abstractNum w:abstractNumId="1">
    <w:nsid w:val="E7F511F9"/>
    <w:multiLevelType w:val="multilevel"/>
    <w:tmpl w:val="E7F511F9"/>
    <w:lvl w:ilvl="0" w:tentative="0">
      <w:start w:val="1"/>
      <w:numFmt w:val="decimal"/>
      <w:suff w:val="space"/>
      <w:lvlText w:val="%1."/>
      <w:lvlJc w:val="left"/>
      <w:pPr>
        <w:ind w:left="-62" w:firstLine="522"/>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TlmZTkwZjE4MzYyMjRhNzQ4ZDkyZjRlMGRlM2UifQ=="/>
  </w:docVars>
  <w:rsids>
    <w:rsidRoot w:val="7F0E237D"/>
    <w:rsid w:val="00047257"/>
    <w:rsid w:val="000A111C"/>
    <w:rsid w:val="000B5ABD"/>
    <w:rsid w:val="000C2DD2"/>
    <w:rsid w:val="000C3EB2"/>
    <w:rsid w:val="000E1515"/>
    <w:rsid w:val="000F5986"/>
    <w:rsid w:val="000F6441"/>
    <w:rsid w:val="00140723"/>
    <w:rsid w:val="00180505"/>
    <w:rsid w:val="001827B1"/>
    <w:rsid w:val="001B5D5C"/>
    <w:rsid w:val="00250B72"/>
    <w:rsid w:val="00292A78"/>
    <w:rsid w:val="002E1289"/>
    <w:rsid w:val="002E7E75"/>
    <w:rsid w:val="0035059E"/>
    <w:rsid w:val="003735F0"/>
    <w:rsid w:val="003B7F70"/>
    <w:rsid w:val="003D6824"/>
    <w:rsid w:val="003F168F"/>
    <w:rsid w:val="004473F5"/>
    <w:rsid w:val="004F5880"/>
    <w:rsid w:val="0051092A"/>
    <w:rsid w:val="005547B6"/>
    <w:rsid w:val="005E7F0F"/>
    <w:rsid w:val="006114BF"/>
    <w:rsid w:val="00626D6B"/>
    <w:rsid w:val="00632986"/>
    <w:rsid w:val="00665BB0"/>
    <w:rsid w:val="006B7C49"/>
    <w:rsid w:val="0073210F"/>
    <w:rsid w:val="00767989"/>
    <w:rsid w:val="007A0407"/>
    <w:rsid w:val="007A0483"/>
    <w:rsid w:val="007B4127"/>
    <w:rsid w:val="007C31D3"/>
    <w:rsid w:val="00803687"/>
    <w:rsid w:val="00877BDB"/>
    <w:rsid w:val="008B7D4B"/>
    <w:rsid w:val="008D0D5E"/>
    <w:rsid w:val="008D2CA4"/>
    <w:rsid w:val="008F2996"/>
    <w:rsid w:val="00937A7C"/>
    <w:rsid w:val="0097775D"/>
    <w:rsid w:val="00A604CF"/>
    <w:rsid w:val="00A74B50"/>
    <w:rsid w:val="00A808F9"/>
    <w:rsid w:val="00A909F6"/>
    <w:rsid w:val="00AC2573"/>
    <w:rsid w:val="00AC4246"/>
    <w:rsid w:val="00AD25C5"/>
    <w:rsid w:val="00AD4C3A"/>
    <w:rsid w:val="00AF1EB6"/>
    <w:rsid w:val="00AF6521"/>
    <w:rsid w:val="00B26B2E"/>
    <w:rsid w:val="00B332A6"/>
    <w:rsid w:val="00B345AC"/>
    <w:rsid w:val="00B45A43"/>
    <w:rsid w:val="00B4637D"/>
    <w:rsid w:val="00B52F84"/>
    <w:rsid w:val="00B63B77"/>
    <w:rsid w:val="00BB41E9"/>
    <w:rsid w:val="00BD7A42"/>
    <w:rsid w:val="00C259FB"/>
    <w:rsid w:val="00C3005A"/>
    <w:rsid w:val="00C31BD4"/>
    <w:rsid w:val="00C54605"/>
    <w:rsid w:val="00CD3D27"/>
    <w:rsid w:val="00D03CAB"/>
    <w:rsid w:val="00D04890"/>
    <w:rsid w:val="00DC02D9"/>
    <w:rsid w:val="00DE67C3"/>
    <w:rsid w:val="00E451C3"/>
    <w:rsid w:val="00E87685"/>
    <w:rsid w:val="00EB4CFC"/>
    <w:rsid w:val="00ED3549"/>
    <w:rsid w:val="00EF6602"/>
    <w:rsid w:val="00F76EE7"/>
    <w:rsid w:val="00FD5BD7"/>
    <w:rsid w:val="011F471F"/>
    <w:rsid w:val="01376E0A"/>
    <w:rsid w:val="015A6B8C"/>
    <w:rsid w:val="01806305"/>
    <w:rsid w:val="01AD5116"/>
    <w:rsid w:val="01BD420B"/>
    <w:rsid w:val="01D837DB"/>
    <w:rsid w:val="01DD1E9F"/>
    <w:rsid w:val="01FB23CB"/>
    <w:rsid w:val="02736B92"/>
    <w:rsid w:val="028C553E"/>
    <w:rsid w:val="02FA438B"/>
    <w:rsid w:val="035E5896"/>
    <w:rsid w:val="0361681B"/>
    <w:rsid w:val="039368D6"/>
    <w:rsid w:val="03967BEE"/>
    <w:rsid w:val="03AE7E78"/>
    <w:rsid w:val="03DE1667"/>
    <w:rsid w:val="043B7CAA"/>
    <w:rsid w:val="04467D92"/>
    <w:rsid w:val="048961CB"/>
    <w:rsid w:val="05093353"/>
    <w:rsid w:val="054E05C4"/>
    <w:rsid w:val="056F2CF7"/>
    <w:rsid w:val="0586071E"/>
    <w:rsid w:val="05980638"/>
    <w:rsid w:val="05CE4396"/>
    <w:rsid w:val="06071F71"/>
    <w:rsid w:val="06C248A3"/>
    <w:rsid w:val="07824CE1"/>
    <w:rsid w:val="079216F8"/>
    <w:rsid w:val="07AC659B"/>
    <w:rsid w:val="07E94F96"/>
    <w:rsid w:val="082B1C77"/>
    <w:rsid w:val="082D0D5E"/>
    <w:rsid w:val="08966904"/>
    <w:rsid w:val="09205A07"/>
    <w:rsid w:val="092B5F96"/>
    <w:rsid w:val="09742F12"/>
    <w:rsid w:val="09793B17"/>
    <w:rsid w:val="09BC3307"/>
    <w:rsid w:val="09C33728"/>
    <w:rsid w:val="09FF5075"/>
    <w:rsid w:val="0A4A209B"/>
    <w:rsid w:val="0A53127C"/>
    <w:rsid w:val="0ACF5720"/>
    <w:rsid w:val="0AEB002D"/>
    <w:rsid w:val="0AF12519"/>
    <w:rsid w:val="0B20514C"/>
    <w:rsid w:val="0B446AEB"/>
    <w:rsid w:val="0B74045A"/>
    <w:rsid w:val="0BAD643E"/>
    <w:rsid w:val="0BB41243"/>
    <w:rsid w:val="0BBF6171"/>
    <w:rsid w:val="0BD75BB1"/>
    <w:rsid w:val="0BD83B6C"/>
    <w:rsid w:val="0BF50334"/>
    <w:rsid w:val="0C906CCE"/>
    <w:rsid w:val="0C9D11C1"/>
    <w:rsid w:val="0CE54E38"/>
    <w:rsid w:val="0D92206A"/>
    <w:rsid w:val="0E4A2181"/>
    <w:rsid w:val="0EC54049"/>
    <w:rsid w:val="0F763E6D"/>
    <w:rsid w:val="0F824086"/>
    <w:rsid w:val="0FB43951"/>
    <w:rsid w:val="0FC33F6C"/>
    <w:rsid w:val="103A226A"/>
    <w:rsid w:val="107D0655"/>
    <w:rsid w:val="108252A3"/>
    <w:rsid w:val="10A854E3"/>
    <w:rsid w:val="10E02E12"/>
    <w:rsid w:val="10E55348"/>
    <w:rsid w:val="11DD425B"/>
    <w:rsid w:val="11EB3571"/>
    <w:rsid w:val="11F33019"/>
    <w:rsid w:val="120F097F"/>
    <w:rsid w:val="12503FC7"/>
    <w:rsid w:val="129A09D5"/>
    <w:rsid w:val="12D0036B"/>
    <w:rsid w:val="12E06408"/>
    <w:rsid w:val="13CF248D"/>
    <w:rsid w:val="13D9661F"/>
    <w:rsid w:val="13FD7AD9"/>
    <w:rsid w:val="143534B6"/>
    <w:rsid w:val="1458496F"/>
    <w:rsid w:val="148E0DD7"/>
    <w:rsid w:val="1493535D"/>
    <w:rsid w:val="14AC0B76"/>
    <w:rsid w:val="150F669C"/>
    <w:rsid w:val="15863D5C"/>
    <w:rsid w:val="15981F0D"/>
    <w:rsid w:val="15C838CC"/>
    <w:rsid w:val="164C2821"/>
    <w:rsid w:val="166D65D9"/>
    <w:rsid w:val="167F1D76"/>
    <w:rsid w:val="16D762C1"/>
    <w:rsid w:val="171A79F6"/>
    <w:rsid w:val="1763366E"/>
    <w:rsid w:val="178D396D"/>
    <w:rsid w:val="17EE050A"/>
    <w:rsid w:val="17FA7064"/>
    <w:rsid w:val="18216F24"/>
    <w:rsid w:val="189823E5"/>
    <w:rsid w:val="19232435"/>
    <w:rsid w:val="196C36C2"/>
    <w:rsid w:val="19C76874"/>
    <w:rsid w:val="1A101FD2"/>
    <w:rsid w:val="1A415AA6"/>
    <w:rsid w:val="1A597E48"/>
    <w:rsid w:val="1A60277A"/>
    <w:rsid w:val="1B2A271F"/>
    <w:rsid w:val="1B6415FF"/>
    <w:rsid w:val="1BDD5A46"/>
    <w:rsid w:val="1BE608D3"/>
    <w:rsid w:val="1BF43C15"/>
    <w:rsid w:val="1C9F7D02"/>
    <w:rsid w:val="1CA36DC4"/>
    <w:rsid w:val="1D7644E2"/>
    <w:rsid w:val="1DD65800"/>
    <w:rsid w:val="1E4A35C1"/>
    <w:rsid w:val="1EDD6BE3"/>
    <w:rsid w:val="1F7312F5"/>
    <w:rsid w:val="20120B0E"/>
    <w:rsid w:val="203B3D71"/>
    <w:rsid w:val="20686980"/>
    <w:rsid w:val="206D21E8"/>
    <w:rsid w:val="214C7431"/>
    <w:rsid w:val="21641254"/>
    <w:rsid w:val="21C969FA"/>
    <w:rsid w:val="222E41A0"/>
    <w:rsid w:val="22854BAF"/>
    <w:rsid w:val="22DB7B3C"/>
    <w:rsid w:val="231B0DA1"/>
    <w:rsid w:val="23510E00"/>
    <w:rsid w:val="2378512C"/>
    <w:rsid w:val="23D36806"/>
    <w:rsid w:val="23E76D75"/>
    <w:rsid w:val="241E4CD1"/>
    <w:rsid w:val="245A12B2"/>
    <w:rsid w:val="250273A3"/>
    <w:rsid w:val="250848CE"/>
    <w:rsid w:val="255549CD"/>
    <w:rsid w:val="256C23F4"/>
    <w:rsid w:val="25731D7F"/>
    <w:rsid w:val="259B76C0"/>
    <w:rsid w:val="25E22033"/>
    <w:rsid w:val="26341E3D"/>
    <w:rsid w:val="266037A8"/>
    <w:rsid w:val="2665260C"/>
    <w:rsid w:val="269A5064"/>
    <w:rsid w:val="26D519C6"/>
    <w:rsid w:val="26D8294B"/>
    <w:rsid w:val="27231852"/>
    <w:rsid w:val="2759419E"/>
    <w:rsid w:val="2764252F"/>
    <w:rsid w:val="277C7BD6"/>
    <w:rsid w:val="27AB0725"/>
    <w:rsid w:val="27FB7400"/>
    <w:rsid w:val="283830DC"/>
    <w:rsid w:val="28443D9B"/>
    <w:rsid w:val="287326EC"/>
    <w:rsid w:val="28792077"/>
    <w:rsid w:val="288325A9"/>
    <w:rsid w:val="28B53774"/>
    <w:rsid w:val="28EE54ED"/>
    <w:rsid w:val="295977AD"/>
    <w:rsid w:val="295E5B6D"/>
    <w:rsid w:val="29B816FE"/>
    <w:rsid w:val="29C966E1"/>
    <w:rsid w:val="29CB539B"/>
    <w:rsid w:val="29D100AA"/>
    <w:rsid w:val="2A147EBD"/>
    <w:rsid w:val="2A916E63"/>
    <w:rsid w:val="2AAA7D8D"/>
    <w:rsid w:val="2AC46689"/>
    <w:rsid w:val="2ACD1247"/>
    <w:rsid w:val="2AD22322"/>
    <w:rsid w:val="2B3E6C5B"/>
    <w:rsid w:val="2B46348F"/>
    <w:rsid w:val="2B646134"/>
    <w:rsid w:val="2BA769AB"/>
    <w:rsid w:val="2BAB53B1"/>
    <w:rsid w:val="2BDA5F01"/>
    <w:rsid w:val="2D23171B"/>
    <w:rsid w:val="2D5C786C"/>
    <w:rsid w:val="2D9B3963"/>
    <w:rsid w:val="2DAC4350"/>
    <w:rsid w:val="2DD10A09"/>
    <w:rsid w:val="2DF47AA5"/>
    <w:rsid w:val="2E835E5F"/>
    <w:rsid w:val="2ECB2EFB"/>
    <w:rsid w:val="2F8C0890"/>
    <w:rsid w:val="2F9D2CB0"/>
    <w:rsid w:val="2FC51CEF"/>
    <w:rsid w:val="2FEE50B1"/>
    <w:rsid w:val="305D4027"/>
    <w:rsid w:val="30672D70"/>
    <w:rsid w:val="308952B0"/>
    <w:rsid w:val="308D1737"/>
    <w:rsid w:val="3091013E"/>
    <w:rsid w:val="30BD39AD"/>
    <w:rsid w:val="30ED4FD4"/>
    <w:rsid w:val="3148438F"/>
    <w:rsid w:val="31732CAF"/>
    <w:rsid w:val="317503B0"/>
    <w:rsid w:val="318F6D5C"/>
    <w:rsid w:val="32145110"/>
    <w:rsid w:val="321B43C1"/>
    <w:rsid w:val="324C7EAF"/>
    <w:rsid w:val="32743B56"/>
    <w:rsid w:val="328E671A"/>
    <w:rsid w:val="32A94788"/>
    <w:rsid w:val="32C600DD"/>
    <w:rsid w:val="32ED7F9D"/>
    <w:rsid w:val="34D80120"/>
    <w:rsid w:val="350F0F1C"/>
    <w:rsid w:val="352C2A4A"/>
    <w:rsid w:val="355359F9"/>
    <w:rsid w:val="35646427"/>
    <w:rsid w:val="35990E80"/>
    <w:rsid w:val="35BA13B5"/>
    <w:rsid w:val="35D80965"/>
    <w:rsid w:val="368E4C10"/>
    <w:rsid w:val="36CB4A75"/>
    <w:rsid w:val="36DE5C94"/>
    <w:rsid w:val="36E72D20"/>
    <w:rsid w:val="36FF2297"/>
    <w:rsid w:val="371046EF"/>
    <w:rsid w:val="37157635"/>
    <w:rsid w:val="37340C21"/>
    <w:rsid w:val="37774B8E"/>
    <w:rsid w:val="37820CBF"/>
    <w:rsid w:val="37965442"/>
    <w:rsid w:val="37B67EF6"/>
    <w:rsid w:val="37B833F9"/>
    <w:rsid w:val="38201B23"/>
    <w:rsid w:val="382175A5"/>
    <w:rsid w:val="38527D74"/>
    <w:rsid w:val="38D5034D"/>
    <w:rsid w:val="38E46799"/>
    <w:rsid w:val="39050DB8"/>
    <w:rsid w:val="393D3838"/>
    <w:rsid w:val="3942025E"/>
    <w:rsid w:val="3987236F"/>
    <w:rsid w:val="399B527B"/>
    <w:rsid w:val="39B6763B"/>
    <w:rsid w:val="39CF5FE7"/>
    <w:rsid w:val="39EA4612"/>
    <w:rsid w:val="3A423303"/>
    <w:rsid w:val="3A782F7C"/>
    <w:rsid w:val="3A867EF3"/>
    <w:rsid w:val="3AC540D5"/>
    <w:rsid w:val="3ACC4951"/>
    <w:rsid w:val="3B6C6D0D"/>
    <w:rsid w:val="3BB33BFE"/>
    <w:rsid w:val="3BFF1AFF"/>
    <w:rsid w:val="3C122D1E"/>
    <w:rsid w:val="3C551209"/>
    <w:rsid w:val="3C740891"/>
    <w:rsid w:val="3CA21308"/>
    <w:rsid w:val="3CC90839"/>
    <w:rsid w:val="3D9A7321"/>
    <w:rsid w:val="3DB21145"/>
    <w:rsid w:val="3DB633CE"/>
    <w:rsid w:val="3DF14E3C"/>
    <w:rsid w:val="3E282408"/>
    <w:rsid w:val="3E2F1D93"/>
    <w:rsid w:val="3E6C767A"/>
    <w:rsid w:val="3E767F89"/>
    <w:rsid w:val="3E7964D0"/>
    <w:rsid w:val="3E9F5FFB"/>
    <w:rsid w:val="3EF52A56"/>
    <w:rsid w:val="3F520BF1"/>
    <w:rsid w:val="3F565079"/>
    <w:rsid w:val="3F875848"/>
    <w:rsid w:val="3F932AE8"/>
    <w:rsid w:val="3FAE3509"/>
    <w:rsid w:val="3FDD07D5"/>
    <w:rsid w:val="41076FBE"/>
    <w:rsid w:val="415625C0"/>
    <w:rsid w:val="416163D3"/>
    <w:rsid w:val="417B6F7C"/>
    <w:rsid w:val="41A36E3C"/>
    <w:rsid w:val="41EC7EC8"/>
    <w:rsid w:val="42675C80"/>
    <w:rsid w:val="42706590"/>
    <w:rsid w:val="42D84CBA"/>
    <w:rsid w:val="4332664E"/>
    <w:rsid w:val="434652EE"/>
    <w:rsid w:val="43A23DD3"/>
    <w:rsid w:val="43BC4F2D"/>
    <w:rsid w:val="43D85A47"/>
    <w:rsid w:val="4421366C"/>
    <w:rsid w:val="444F7D1F"/>
    <w:rsid w:val="446C184E"/>
    <w:rsid w:val="447A1E68"/>
    <w:rsid w:val="447D2DED"/>
    <w:rsid w:val="44DC50C3"/>
    <w:rsid w:val="45002616"/>
    <w:rsid w:val="45132AAF"/>
    <w:rsid w:val="45387C9D"/>
    <w:rsid w:val="45811396"/>
    <w:rsid w:val="464858DB"/>
    <w:rsid w:val="4678706D"/>
    <w:rsid w:val="46C87FF5"/>
    <w:rsid w:val="46CA0433"/>
    <w:rsid w:val="46CF48BB"/>
    <w:rsid w:val="46D01A51"/>
    <w:rsid w:val="47087F18"/>
    <w:rsid w:val="47326B5E"/>
    <w:rsid w:val="473F25F0"/>
    <w:rsid w:val="47562215"/>
    <w:rsid w:val="47572097"/>
    <w:rsid w:val="476A1A4C"/>
    <w:rsid w:val="47A97AA1"/>
    <w:rsid w:val="4869465C"/>
    <w:rsid w:val="48E46C3C"/>
    <w:rsid w:val="49190F7D"/>
    <w:rsid w:val="49300BA2"/>
    <w:rsid w:val="4941303B"/>
    <w:rsid w:val="49712ACE"/>
    <w:rsid w:val="49D822B4"/>
    <w:rsid w:val="49F22E5E"/>
    <w:rsid w:val="49F772E6"/>
    <w:rsid w:val="4A521617"/>
    <w:rsid w:val="4B3A75B0"/>
    <w:rsid w:val="4B4E7897"/>
    <w:rsid w:val="4B5814AC"/>
    <w:rsid w:val="4B5D20B0"/>
    <w:rsid w:val="4BD40DF5"/>
    <w:rsid w:val="4C012116"/>
    <w:rsid w:val="4C0E7CD6"/>
    <w:rsid w:val="4C207BF0"/>
    <w:rsid w:val="4C2A5F81"/>
    <w:rsid w:val="4C5916EF"/>
    <w:rsid w:val="4C6C5AF1"/>
    <w:rsid w:val="4CF621D2"/>
    <w:rsid w:val="4D23781E"/>
    <w:rsid w:val="4D521266"/>
    <w:rsid w:val="4DC8252A"/>
    <w:rsid w:val="4DD56340"/>
    <w:rsid w:val="4DFC3E55"/>
    <w:rsid w:val="4E1E76B5"/>
    <w:rsid w:val="4E715C09"/>
    <w:rsid w:val="4EBD1B3D"/>
    <w:rsid w:val="4EDE4270"/>
    <w:rsid w:val="4EFE25A7"/>
    <w:rsid w:val="4F760F6C"/>
    <w:rsid w:val="4F7A0E92"/>
    <w:rsid w:val="505C5D66"/>
    <w:rsid w:val="50851129"/>
    <w:rsid w:val="50FD4D3F"/>
    <w:rsid w:val="510B6E04"/>
    <w:rsid w:val="51244DDD"/>
    <w:rsid w:val="514B566F"/>
    <w:rsid w:val="515D4046"/>
    <w:rsid w:val="517843C5"/>
    <w:rsid w:val="519E7986"/>
    <w:rsid w:val="51D20DCB"/>
    <w:rsid w:val="52974D1F"/>
    <w:rsid w:val="52992845"/>
    <w:rsid w:val="53106787"/>
    <w:rsid w:val="53132A5C"/>
    <w:rsid w:val="531D3476"/>
    <w:rsid w:val="53AC5583"/>
    <w:rsid w:val="53BE1870"/>
    <w:rsid w:val="54442C85"/>
    <w:rsid w:val="54E33BD1"/>
    <w:rsid w:val="54F9581D"/>
    <w:rsid w:val="55067877"/>
    <w:rsid w:val="553A2677"/>
    <w:rsid w:val="554B00FD"/>
    <w:rsid w:val="554D57FF"/>
    <w:rsid w:val="55A971DC"/>
    <w:rsid w:val="56723C80"/>
    <w:rsid w:val="569C0B56"/>
    <w:rsid w:val="56A662AB"/>
    <w:rsid w:val="5744373B"/>
    <w:rsid w:val="57586B58"/>
    <w:rsid w:val="577B1697"/>
    <w:rsid w:val="57844525"/>
    <w:rsid w:val="57F57FA5"/>
    <w:rsid w:val="57FE63ED"/>
    <w:rsid w:val="581F6921"/>
    <w:rsid w:val="582817AF"/>
    <w:rsid w:val="58A80E04"/>
    <w:rsid w:val="58CD1F3D"/>
    <w:rsid w:val="58FC2A8C"/>
    <w:rsid w:val="592503CD"/>
    <w:rsid w:val="59EE7217"/>
    <w:rsid w:val="5A031FBA"/>
    <w:rsid w:val="5A097746"/>
    <w:rsid w:val="5A1B53F9"/>
    <w:rsid w:val="5A3679C4"/>
    <w:rsid w:val="5A530E40"/>
    <w:rsid w:val="5AAB580B"/>
    <w:rsid w:val="5ACA6500"/>
    <w:rsid w:val="5B702511"/>
    <w:rsid w:val="5BF46D3E"/>
    <w:rsid w:val="5C0D63F7"/>
    <w:rsid w:val="5CCE65D7"/>
    <w:rsid w:val="5D1928CC"/>
    <w:rsid w:val="5D6F0D72"/>
    <w:rsid w:val="5DA84284"/>
    <w:rsid w:val="5DAA43BA"/>
    <w:rsid w:val="5DE24514"/>
    <w:rsid w:val="5E246282"/>
    <w:rsid w:val="5E4465EC"/>
    <w:rsid w:val="5E867220"/>
    <w:rsid w:val="5EB138E7"/>
    <w:rsid w:val="5EC8350D"/>
    <w:rsid w:val="5ECA1FD8"/>
    <w:rsid w:val="5ED50624"/>
    <w:rsid w:val="5EEE216B"/>
    <w:rsid w:val="5F890A06"/>
    <w:rsid w:val="5F9C3975"/>
    <w:rsid w:val="5FA91901"/>
    <w:rsid w:val="5FC16FA8"/>
    <w:rsid w:val="5FD4310E"/>
    <w:rsid w:val="5FF02075"/>
    <w:rsid w:val="6055781B"/>
    <w:rsid w:val="606E2944"/>
    <w:rsid w:val="607544CD"/>
    <w:rsid w:val="60F63558"/>
    <w:rsid w:val="6126686F"/>
    <w:rsid w:val="613D1D17"/>
    <w:rsid w:val="6169333A"/>
    <w:rsid w:val="616C7377"/>
    <w:rsid w:val="6184248C"/>
    <w:rsid w:val="61AB6AC8"/>
    <w:rsid w:val="62107AF1"/>
    <w:rsid w:val="622C5484"/>
    <w:rsid w:val="636D582F"/>
    <w:rsid w:val="637C1DD7"/>
    <w:rsid w:val="63F631B7"/>
    <w:rsid w:val="64290161"/>
    <w:rsid w:val="64577682"/>
    <w:rsid w:val="647B3077"/>
    <w:rsid w:val="654672B3"/>
    <w:rsid w:val="65472B37"/>
    <w:rsid w:val="657B15F3"/>
    <w:rsid w:val="65FD6DE2"/>
    <w:rsid w:val="66111DAC"/>
    <w:rsid w:val="6618760C"/>
    <w:rsid w:val="66500DEB"/>
    <w:rsid w:val="669F578B"/>
    <w:rsid w:val="66A562F6"/>
    <w:rsid w:val="66E7135C"/>
    <w:rsid w:val="67234B8F"/>
    <w:rsid w:val="678655E4"/>
    <w:rsid w:val="67EC0DFC"/>
    <w:rsid w:val="681770D1"/>
    <w:rsid w:val="68297D70"/>
    <w:rsid w:val="68481874"/>
    <w:rsid w:val="68E3798D"/>
    <w:rsid w:val="691163F0"/>
    <w:rsid w:val="692A1518"/>
    <w:rsid w:val="693A5F2F"/>
    <w:rsid w:val="695452C0"/>
    <w:rsid w:val="69BD115F"/>
    <w:rsid w:val="69EC37D4"/>
    <w:rsid w:val="6A223CAF"/>
    <w:rsid w:val="6A652199"/>
    <w:rsid w:val="6AD1726E"/>
    <w:rsid w:val="6AF26B3F"/>
    <w:rsid w:val="6B0F2632"/>
    <w:rsid w:val="6B286A04"/>
    <w:rsid w:val="6B496C6F"/>
    <w:rsid w:val="6BB5616F"/>
    <w:rsid w:val="6C041C46"/>
    <w:rsid w:val="6C535248"/>
    <w:rsid w:val="6C5D5536"/>
    <w:rsid w:val="6C655162"/>
    <w:rsid w:val="6C7034F3"/>
    <w:rsid w:val="6CA24FC7"/>
    <w:rsid w:val="6D1E0194"/>
    <w:rsid w:val="6D286525"/>
    <w:rsid w:val="6D601F02"/>
    <w:rsid w:val="6DA325EB"/>
    <w:rsid w:val="6DCF4FEE"/>
    <w:rsid w:val="6E794BCD"/>
    <w:rsid w:val="6ED2525C"/>
    <w:rsid w:val="6EF0008F"/>
    <w:rsid w:val="6F0D5441"/>
    <w:rsid w:val="6F2936EC"/>
    <w:rsid w:val="6F80797E"/>
    <w:rsid w:val="6F816824"/>
    <w:rsid w:val="6F9C071A"/>
    <w:rsid w:val="6FB645DF"/>
    <w:rsid w:val="6FE93B2A"/>
    <w:rsid w:val="6FF82AC0"/>
    <w:rsid w:val="6FFD6F48"/>
    <w:rsid w:val="70A835E0"/>
    <w:rsid w:val="70C26FB3"/>
    <w:rsid w:val="7105557C"/>
    <w:rsid w:val="71147D94"/>
    <w:rsid w:val="71344A46"/>
    <w:rsid w:val="713C1E52"/>
    <w:rsid w:val="716D3CA6"/>
    <w:rsid w:val="71804EA4"/>
    <w:rsid w:val="723039E4"/>
    <w:rsid w:val="72563C24"/>
    <w:rsid w:val="726E34C9"/>
    <w:rsid w:val="72D30C6F"/>
    <w:rsid w:val="73091DE9"/>
    <w:rsid w:val="730A49CC"/>
    <w:rsid w:val="73196D95"/>
    <w:rsid w:val="732E6B82"/>
    <w:rsid w:val="739D6139"/>
    <w:rsid w:val="73A225C1"/>
    <w:rsid w:val="73DE2356"/>
    <w:rsid w:val="73F73350"/>
    <w:rsid w:val="743566B8"/>
    <w:rsid w:val="748E5B2A"/>
    <w:rsid w:val="74A85838"/>
    <w:rsid w:val="74D20734"/>
    <w:rsid w:val="75153B55"/>
    <w:rsid w:val="75220020"/>
    <w:rsid w:val="755A0A19"/>
    <w:rsid w:val="755C0699"/>
    <w:rsid w:val="756B5E6B"/>
    <w:rsid w:val="757B0F4D"/>
    <w:rsid w:val="75B82FB1"/>
    <w:rsid w:val="75CF5154"/>
    <w:rsid w:val="75F21E91"/>
    <w:rsid w:val="76733229"/>
    <w:rsid w:val="76836307"/>
    <w:rsid w:val="77383FF4"/>
    <w:rsid w:val="778744A6"/>
    <w:rsid w:val="77E34BBF"/>
    <w:rsid w:val="780350F4"/>
    <w:rsid w:val="7825692D"/>
    <w:rsid w:val="784748E4"/>
    <w:rsid w:val="79750A88"/>
    <w:rsid w:val="798D1378"/>
    <w:rsid w:val="7A441639"/>
    <w:rsid w:val="7AE3772B"/>
    <w:rsid w:val="7B2D68A5"/>
    <w:rsid w:val="7B361733"/>
    <w:rsid w:val="7B9A2E37"/>
    <w:rsid w:val="7B9B3656"/>
    <w:rsid w:val="7B9F205C"/>
    <w:rsid w:val="7BFF2E69"/>
    <w:rsid w:val="7C091993"/>
    <w:rsid w:val="7C106E98"/>
    <w:rsid w:val="7C50111C"/>
    <w:rsid w:val="7C8313D5"/>
    <w:rsid w:val="7CD94362"/>
    <w:rsid w:val="7D16490F"/>
    <w:rsid w:val="7D5D23BD"/>
    <w:rsid w:val="7D5E7E3F"/>
    <w:rsid w:val="7D6577CA"/>
    <w:rsid w:val="7E502C4A"/>
    <w:rsid w:val="7E541651"/>
    <w:rsid w:val="7E8B17AA"/>
    <w:rsid w:val="7E9E07CB"/>
    <w:rsid w:val="7EC73B8E"/>
    <w:rsid w:val="7F0E237D"/>
    <w:rsid w:val="7F602A87"/>
    <w:rsid w:val="7FF16AF3"/>
    <w:rsid w:val="7FF6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120"/>
      <w:outlineLvl w:val="0"/>
    </w:pPr>
    <w:rPr>
      <w:rFonts w:ascii="等线" w:hAnsi="等线" w:eastAsia="等线" w:cs="等线"/>
      <w:b/>
      <w:bCs/>
      <w:sz w:val="44"/>
      <w:szCs w:val="44"/>
      <w:lang w:val="zh-CN" w:bidi="zh-CN"/>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等线" w:hAnsi="等线" w:eastAsia="等线" w:cs="等线"/>
      <w:szCs w:val="21"/>
      <w:lang w:val="zh-CN" w:bidi="zh-CN"/>
    </w:rPr>
  </w:style>
  <w:style w:type="paragraph" w:styleId="4">
    <w:name w:val="Body Text Indent"/>
    <w:basedOn w:val="1"/>
    <w:autoRedefine/>
    <w:qFormat/>
    <w:uiPriority w:val="0"/>
    <w:pPr>
      <w:spacing w:before="240" w:line="400" w:lineRule="exact"/>
      <w:ind w:firstLine="505"/>
    </w:pPr>
    <w:rPr>
      <w:rFonts w:ascii="宋体"/>
      <w:sz w:val="24"/>
    </w:rPr>
  </w:style>
  <w:style w:type="paragraph" w:styleId="5">
    <w:name w:val="Plain Text"/>
    <w:basedOn w:val="1"/>
    <w:qFormat/>
    <w:uiPriority w:val="0"/>
    <w:rPr>
      <w:rFonts w:ascii="宋体" w:hAnsi="Courier New"/>
      <w:snapToGrid w:val="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paragraph" w:customStyle="1" w:styleId="14">
    <w:name w:val="List Paragraph1"/>
    <w:basedOn w:val="1"/>
    <w:autoRedefine/>
    <w:qFormat/>
    <w:uiPriority w:val="34"/>
    <w:pPr>
      <w:ind w:firstLine="420" w:firstLineChars="200"/>
    </w:pPr>
  </w:style>
  <w:style w:type="character" w:customStyle="1" w:styleId="15">
    <w:name w:val="font11"/>
    <w:basedOn w:val="11"/>
    <w:autoRedefine/>
    <w:qFormat/>
    <w:uiPriority w:val="0"/>
    <w:rPr>
      <w:rFonts w:ascii="Futura Bk" w:hAnsi="Futura Bk" w:eastAsia="Futura Bk" w:cs="Futura Bk"/>
      <w:color w:val="000000"/>
      <w:sz w:val="20"/>
      <w:szCs w:val="20"/>
      <w:u w:val="none"/>
    </w:rPr>
  </w:style>
  <w:style w:type="character" w:customStyle="1" w:styleId="16">
    <w:name w:val="font31"/>
    <w:basedOn w:val="11"/>
    <w:autoRedefine/>
    <w:qFormat/>
    <w:uiPriority w:val="0"/>
    <w:rPr>
      <w:rFonts w:hint="eastAsia" w:ascii="宋体" w:hAnsi="宋体" w:eastAsia="宋体" w:cs="宋体"/>
      <w:color w:val="000000"/>
      <w:sz w:val="20"/>
      <w:szCs w:val="20"/>
      <w:u w:val="none"/>
    </w:rPr>
  </w:style>
  <w:style w:type="paragraph" w:styleId="17">
    <w:name w:val="List Paragraph"/>
    <w:basedOn w:val="1"/>
    <w:autoRedefine/>
    <w:qFormat/>
    <w:uiPriority w:val="1"/>
    <w:pPr>
      <w:spacing w:line="312" w:lineRule="exact"/>
      <w:ind w:left="480" w:hanging="361"/>
    </w:pPr>
    <w:rPr>
      <w:rFonts w:ascii="等线" w:hAnsi="等线" w:eastAsia="等线" w:cs="等线"/>
      <w:lang w:val="zh-CN" w:bidi="zh-CN"/>
    </w:rPr>
  </w:style>
  <w:style w:type="paragraph" w:customStyle="1" w:styleId="18">
    <w:name w:val="Table Paragraph"/>
    <w:basedOn w:val="1"/>
    <w:autoRedefine/>
    <w:qFormat/>
    <w:uiPriority w:val="1"/>
    <w:pPr>
      <w:ind w:left="107"/>
    </w:pPr>
    <w:rPr>
      <w:rFonts w:ascii="等线" w:hAnsi="等线" w:eastAsia="等线" w:cs="等线"/>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3378</Words>
  <Characters>3485</Characters>
  <Lines>59</Lines>
  <Paragraphs>16</Paragraphs>
  <TotalTime>88</TotalTime>
  <ScaleCrop>false</ScaleCrop>
  <LinksUpToDate>false</LinksUpToDate>
  <CharactersWithSpaces>3632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2022-06-28T14:31:00Z</dcterms:created>
  <dc:creator>gujianbin</dc:creator>
  <cp:lastModifiedBy>顾剑斌</cp:lastModifiedBy>
  <dcterms:modified xsi:type="dcterms:W3CDTF">2024-06-06T03:12:56Z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CEACD97498F646ED8C56D5400ACDC288</vt:lpwstr>
  </property>
</Properties>
</file>