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D" w:rsidRDefault="00F67667" w:rsidP="00004C4B">
      <w:pPr>
        <w:jc w:val="center"/>
        <w:rPr>
          <w:sz w:val="36"/>
          <w:szCs w:val="36"/>
        </w:rPr>
      </w:pPr>
      <w:r>
        <w:rPr>
          <w:sz w:val="36"/>
          <w:szCs w:val="36"/>
        </w:rPr>
        <w:t>WEB</w:t>
      </w:r>
      <w:r w:rsidRPr="00F67667">
        <w:rPr>
          <w:rFonts w:hint="eastAsia"/>
          <w:sz w:val="36"/>
          <w:szCs w:val="36"/>
        </w:rPr>
        <w:t>应用防火墙（</w:t>
      </w:r>
      <w:r w:rsidRPr="00F67667">
        <w:rPr>
          <w:rFonts w:hint="eastAsia"/>
          <w:sz w:val="36"/>
          <w:szCs w:val="36"/>
        </w:rPr>
        <w:t>WAF</w:t>
      </w:r>
      <w:r w:rsidRPr="00F67667">
        <w:rPr>
          <w:rFonts w:hint="eastAsia"/>
          <w:sz w:val="36"/>
          <w:szCs w:val="36"/>
        </w:rPr>
        <w:t>）</w:t>
      </w:r>
      <w:r w:rsidR="00C27D60">
        <w:rPr>
          <w:rFonts w:hint="eastAsia"/>
          <w:sz w:val="36"/>
          <w:szCs w:val="36"/>
        </w:rPr>
        <w:t>招标公告</w:t>
      </w:r>
    </w:p>
    <w:p w:rsidR="00B40E00" w:rsidRDefault="00B40E00" w:rsidP="00004C4B">
      <w:pPr>
        <w:jc w:val="center"/>
        <w:rPr>
          <w:sz w:val="36"/>
          <w:szCs w:val="36"/>
        </w:rPr>
      </w:pPr>
    </w:p>
    <w:p w:rsidR="00B40E00" w:rsidRPr="00004C4B" w:rsidRDefault="00B40E00" w:rsidP="00004C4B">
      <w:pPr>
        <w:jc w:val="center"/>
        <w:rPr>
          <w:sz w:val="36"/>
          <w:szCs w:val="36"/>
        </w:rPr>
      </w:pPr>
    </w:p>
    <w:p w:rsidR="00B40E00" w:rsidRPr="00B40E00" w:rsidRDefault="00B40E00" w:rsidP="00B40E00">
      <w:pPr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安信农业保险</w:t>
      </w:r>
      <w:r w:rsidR="00094853">
        <w:rPr>
          <w:rFonts w:asciiTheme="minorEastAsia" w:eastAsiaTheme="minorEastAsia" w:hAnsiTheme="minorEastAsia" w:hint="eastAsia"/>
          <w:sz w:val="28"/>
          <w:szCs w:val="28"/>
        </w:rPr>
        <w:t>股份有限公司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（以下简称“征集人”）现邀请合格的供应商（以下简称“应征人”）就征集人所需项目进行项目征集，征集人将择优选定中选人，欢迎符合条件的应征人前来参与方案比选，现将有关事项公告如下。</w:t>
      </w:r>
    </w:p>
    <w:p w:rsidR="002D6903" w:rsidRDefault="00B40E00" w:rsidP="00B40E00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征</w:t>
      </w:r>
      <w:r>
        <w:rPr>
          <w:rFonts w:asciiTheme="minorEastAsia" w:eastAsiaTheme="minorEastAsia" w:hAnsiTheme="minorEastAsia" w:hint="eastAsia"/>
          <w:sz w:val="28"/>
          <w:szCs w:val="28"/>
        </w:rPr>
        <w:t>集项目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内容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设备数量</w:t>
      </w:r>
    </w:p>
    <w:p w:rsidR="00551F8B" w:rsidRPr="005406A1" w:rsidRDefault="00F67667" w:rsidP="00551F8B">
      <w:pPr>
        <w:pStyle w:val="a5"/>
        <w:ind w:left="114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WEB</w:t>
      </w:r>
      <w:r w:rsidRPr="00F67667">
        <w:rPr>
          <w:rFonts w:ascii="仿宋_GB2312" w:eastAsia="仿宋_GB2312" w:hint="eastAsia"/>
          <w:sz w:val="28"/>
          <w:szCs w:val="28"/>
        </w:rPr>
        <w:t>应用防火墙</w:t>
      </w:r>
      <w:r>
        <w:rPr>
          <w:rFonts w:ascii="仿宋_GB2312" w:eastAsia="仿宋_GB2312" w:hint="eastAsia"/>
          <w:sz w:val="28"/>
          <w:szCs w:val="28"/>
        </w:rPr>
        <w:t>（WAF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2</w:t>
      </w:r>
      <w:r w:rsidR="005D6AA9">
        <w:rPr>
          <w:rFonts w:ascii="仿宋_GB2312" w:eastAsia="仿宋_GB2312" w:hint="eastAsia"/>
          <w:sz w:val="28"/>
          <w:szCs w:val="28"/>
        </w:rPr>
        <w:t>台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设备要求</w:t>
      </w:r>
    </w:p>
    <w:p w:rsidR="008F253A" w:rsidRPr="00D3491E" w:rsidRDefault="008F253A" w:rsidP="008F253A">
      <w:pPr>
        <w:pStyle w:val="a5"/>
        <w:ind w:leftChars="200" w:left="420" w:firstLineChars="250" w:firstLine="70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设备及</w:t>
      </w:r>
      <w:r w:rsidR="005A79EF">
        <w:rPr>
          <w:rFonts w:ascii="宋体" w:hAnsi="宋体" w:cs="Arial" w:hint="eastAsia"/>
          <w:sz w:val="28"/>
          <w:szCs w:val="28"/>
        </w:rPr>
        <w:t>设备</w:t>
      </w:r>
      <w:r>
        <w:rPr>
          <w:rFonts w:ascii="宋体" w:hAnsi="宋体" w:cs="Arial" w:hint="eastAsia"/>
          <w:sz w:val="28"/>
          <w:szCs w:val="28"/>
        </w:rPr>
        <w:t>附属配件均为原厂提供。</w:t>
      </w:r>
    </w:p>
    <w:p w:rsidR="002D6903" w:rsidRPr="00D3491E" w:rsidRDefault="00B40E00" w:rsidP="00B40E0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bookmarkStart w:id="0" w:name="OLE_LINK1"/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应征人必须具备的条件：</w:t>
      </w:r>
    </w:p>
    <w:p w:rsidR="00B40E00" w:rsidRPr="00B40E00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应征人须为原厂商或授权代理商，所投</w:t>
      </w:r>
      <w:r w:rsidR="006F6F5F">
        <w:rPr>
          <w:rFonts w:asciiTheme="minorEastAsia" w:eastAsiaTheme="minorEastAsia" w:hAnsiTheme="minorEastAsia" w:hint="eastAsia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sz w:val="28"/>
          <w:szCs w:val="28"/>
        </w:rPr>
        <w:t>品牌为国内外知名品牌，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所投</w:t>
      </w:r>
      <w:r>
        <w:rPr>
          <w:rFonts w:asciiTheme="minorEastAsia" w:eastAsiaTheme="minorEastAsia" w:hAnsiTheme="minorEastAsia" w:hint="eastAsia"/>
          <w:sz w:val="28"/>
          <w:szCs w:val="28"/>
        </w:rPr>
        <w:t>服务器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产品性能可靠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不少于三年市场应用案例。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应征人必须具有独立法人资格，具有独立承担民事责任的能力，具备相应的经营范围且其注册资金或净资产（所有者权益）必须不小于 1000</w:t>
      </w:r>
      <w:r w:rsidR="00161BBC">
        <w:rPr>
          <w:rFonts w:asciiTheme="minorEastAsia" w:eastAsiaTheme="minorEastAsia" w:hAnsiTheme="minorEastAsia" w:hint="eastAsia"/>
          <w:sz w:val="28"/>
          <w:szCs w:val="28"/>
        </w:rPr>
        <w:t>（含）万元人民币（或等值外币）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应征人必须具有专业团队，具有较强的售前、售中和售后服务支持能力，提供7*24报修服务电话及固定的客户服务经理，省会城市、一类城市、直辖市均需要有办事处及备件库。提供全国性服务网点的证明材料。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lastRenderedPageBreak/>
        <w:t>应证人在最近三年内未因自身任何违约、违法行为及违反商业道德的行为而导致取消参选资格、合同解除或败诉。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法定代表人为同一个人的两个及两个以上法人，母公司与全资子公司/由其控股的子公司，不得同时参加本项目。</w:t>
      </w:r>
    </w:p>
    <w:p w:rsidR="00D3491E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法律、行政法规规定的其他条件。</w:t>
      </w:r>
    </w:p>
    <w:p w:rsidR="00DB5D8C" w:rsidRDefault="00161BBC" w:rsidP="00D3491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DB5D8C">
        <w:rPr>
          <w:rFonts w:asciiTheme="minorEastAsia" w:eastAsiaTheme="minorEastAsia" w:hAnsiTheme="minorEastAsia" w:hint="eastAsia"/>
          <w:sz w:val="28"/>
          <w:szCs w:val="28"/>
        </w:rPr>
        <w:t>需提供厂商对本项目的授权书。</w:t>
      </w:r>
    </w:p>
    <w:p w:rsidR="00396B73" w:rsidRDefault="00FC5B32" w:rsidP="002D690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售后服务要求</w:t>
      </w:r>
    </w:p>
    <w:p w:rsidR="00FC5B32" w:rsidRPr="00FC5B32" w:rsidRDefault="00161BBC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应为</w:t>
      </w:r>
      <w:r w:rsidR="002B5699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提供及时周到的系统技术支持。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应确保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提供7*24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小时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技术支持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，响应时间不应该超过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小时，现场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响应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支持不应超过4小时。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所提供设备保质期均为三年（具有特殊要求的除外），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所提供的设备在保质期内因硬件、软件本身质量问题所造成的损坏或无法正常运行，由此产生的维修、更换硬件和软件故障排除等所需一切费用（包括工程师差旅费用等支出）由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负责。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提供相应的备件支持，以便及时更换损坏硬件。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应在质保期后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设备生命周期内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有义务</w:t>
      </w:r>
      <w:r w:rsidR="00195A3C">
        <w:rPr>
          <w:rFonts w:asciiTheme="minorEastAsia" w:eastAsiaTheme="minorEastAsia" w:hAnsiTheme="minorEastAsia" w:hint="eastAsia"/>
          <w:sz w:val="28"/>
          <w:szCs w:val="28"/>
        </w:rPr>
        <w:t>继续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对系统设备提供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维保服务，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67651D">
        <w:rPr>
          <w:rFonts w:asciiTheme="minorEastAsia" w:eastAsiaTheme="minorEastAsia" w:hAnsiTheme="minorEastAsia" w:hint="eastAsia"/>
          <w:sz w:val="28"/>
          <w:szCs w:val="28"/>
        </w:rPr>
        <w:t>将支付相应费用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5B32" w:rsidRPr="00FC5B32" w:rsidRDefault="00FC5B32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针对以上要求，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提供具体可行的有吸引力的合作方案。</w:t>
      </w:r>
    </w:p>
    <w:bookmarkEnd w:id="0"/>
    <w:p w:rsidR="002D6903" w:rsidRDefault="00FC5B32" w:rsidP="002D6903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验收</w:t>
      </w:r>
    </w:p>
    <w:p w:rsidR="00FC5B32" w:rsidRPr="00FC5B32" w:rsidRDefault="00FC5B32" w:rsidP="00FC5B32">
      <w:pPr>
        <w:pStyle w:val="a5"/>
        <w:numPr>
          <w:ilvl w:val="0"/>
          <w:numId w:val="6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所有设备均需提供安装服务，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所采购设备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（包括软件）安装都必须由</w:t>
      </w:r>
      <w:r w:rsidR="00551F8B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551F8B" w:rsidRPr="00117817">
        <w:rPr>
          <w:rFonts w:asciiTheme="minorEastAsia" w:eastAsiaTheme="minorEastAsia" w:hAnsiTheme="minorEastAsia" w:hint="eastAsia"/>
          <w:sz w:val="28"/>
          <w:szCs w:val="28"/>
        </w:rPr>
        <w:t>厂商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授权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商执行。</w:t>
      </w:r>
    </w:p>
    <w:p w:rsidR="00EB444F" w:rsidRPr="00FC5B32" w:rsidRDefault="00EB444F" w:rsidP="00EB444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安装前由</w:t>
      </w:r>
      <w:bookmarkStart w:id="1" w:name="OLE_LINK7"/>
      <w:bookmarkStart w:id="2" w:name="OLE_LINK8"/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bookmarkEnd w:id="1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协同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行政办公室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对货物的品牌、数量、包装等方面进行</w:t>
      </w:r>
      <w:r>
        <w:rPr>
          <w:rFonts w:asciiTheme="minorEastAsia" w:eastAsiaTheme="minorEastAsia" w:hAnsiTheme="minorEastAsia" w:hint="eastAsia"/>
          <w:sz w:val="28"/>
          <w:szCs w:val="28"/>
        </w:rPr>
        <w:t>实物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验收。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提供的所有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包装的货物均应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完好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无损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。如遇交付前已拆封的货物，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有权拒绝或要求更换。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交货时，必需提供所有产品原厂或总代理出具的供货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证明。</w:t>
      </w:r>
    </w:p>
    <w:p w:rsidR="00DB5D8C" w:rsidRPr="005F12C8" w:rsidRDefault="006A5078" w:rsidP="005F12C8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信息技术部指导下进行设备安装、调试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进行使用性能方面的验收。</w:t>
      </w:r>
    </w:p>
    <w:p w:rsidR="00FC5B32" w:rsidRDefault="005F12C8" w:rsidP="005F12C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报名方式</w:t>
      </w:r>
    </w:p>
    <w:p w:rsidR="006A507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有意者请于</w:t>
      </w:r>
      <w:r>
        <w:rPr>
          <w:rFonts w:asciiTheme="minorEastAsia" w:eastAsiaTheme="minorEastAsia" w:hAnsiTheme="minorEastAsia"/>
          <w:sz w:val="28"/>
          <w:szCs w:val="28"/>
        </w:rPr>
        <w:t>2019年</w:t>
      </w:r>
      <w:r w:rsidR="005F531E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月1</w:t>
      </w:r>
      <w:r w:rsidR="005F531E"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之前将标书及相关材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 xml:space="preserve">料送至以下地址：上海市静安区共和新路3651号 </w:t>
      </w:r>
      <w:r>
        <w:rPr>
          <w:rFonts w:asciiTheme="minorEastAsia" w:eastAsiaTheme="minorEastAsia" w:hAnsiTheme="minorEastAsia" w:hint="eastAsia"/>
          <w:sz w:val="28"/>
          <w:szCs w:val="28"/>
        </w:rPr>
        <w:t>顾晓磊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>收</w:t>
      </w:r>
    </w:p>
    <w:p w:rsidR="005F12C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联系人：顾晓磊</w:t>
      </w:r>
    </w:p>
    <w:p w:rsidR="005F12C8" w:rsidRPr="005F12C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联系方式：021-6698</w:t>
      </w:r>
      <w:r>
        <w:rPr>
          <w:rFonts w:asciiTheme="minorEastAsia" w:eastAsiaTheme="minorEastAsia" w:hAnsiTheme="minorEastAsia"/>
          <w:sz w:val="28"/>
          <w:szCs w:val="28"/>
        </w:rPr>
        <w:t>8356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2B5699">
        <w:rPr>
          <w:rFonts w:asciiTheme="minorEastAsia" w:eastAsiaTheme="minorEastAsia" w:hAnsiTheme="minorEastAsia" w:hint="eastAsia"/>
          <w:sz w:val="28"/>
          <w:szCs w:val="28"/>
        </w:rPr>
        <w:t>guxl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>@aaic.com.cn</w:t>
      </w:r>
    </w:p>
    <w:p w:rsidR="006A5078" w:rsidRDefault="006A5078" w:rsidP="006A507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6A5078">
        <w:rPr>
          <w:rFonts w:asciiTheme="minorEastAsia" w:eastAsiaTheme="minorEastAsia" w:hAnsiTheme="minorEastAsia" w:hint="eastAsia"/>
          <w:sz w:val="28"/>
          <w:szCs w:val="28"/>
        </w:rPr>
        <w:t>举报邮箱：</w:t>
      </w:r>
      <w:hyperlink r:id="rId7" w:history="1">
        <w:r w:rsidR="00E17526" w:rsidRPr="0098633B">
          <w:rPr>
            <w:rStyle w:val="a7"/>
            <w:rFonts w:asciiTheme="minorEastAsia" w:eastAsiaTheme="minorEastAsia" w:hAnsiTheme="minorEastAsia"/>
            <w:sz w:val="28"/>
            <w:szCs w:val="28"/>
          </w:rPr>
          <w:t>kehufuwu@aaic.com.cn</w:t>
        </w:r>
      </w:hyperlink>
    </w:p>
    <w:p w:rsidR="00E17526" w:rsidRPr="00F67667" w:rsidRDefault="00E17526" w:rsidP="00E17526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E17526">
        <w:rPr>
          <w:rFonts w:ascii="仿宋_GB2312" w:eastAsia="仿宋_GB2312" w:hint="eastAsia"/>
          <w:sz w:val="28"/>
          <w:szCs w:val="28"/>
        </w:rPr>
        <w:t>招标参数要求</w:t>
      </w:r>
    </w:p>
    <w:tbl>
      <w:tblPr>
        <w:tblW w:w="0" w:type="auto"/>
        <w:tblInd w:w="8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60"/>
        <w:gridCol w:w="7840"/>
      </w:tblGrid>
      <w:tr w:rsidR="00BF7866" w:rsidTr="003758E8">
        <w:trPr>
          <w:cantSplit/>
          <w:trHeight w:val="659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jc w:val="center"/>
              <w:rPr>
                <w:rStyle w:val="a8"/>
                <w:rFonts w:ascii="宋体" w:hAnsi="宋体" w:cs="宋体"/>
                <w:kern w:val="0"/>
                <w:sz w:val="22"/>
                <w:szCs w:val="22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lang w:val="zh-Hans" w:eastAsia="zh-Hans"/>
              </w:rPr>
              <w:t>基本需求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投标产品应该是经过市场考验的成熟产品，产品上市时间不少于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5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年。须提供销售许可证或软件著作权证书等有效证明材料。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专用机架式硬件设备，系统硬件为全内置封闭式结构，稳定可靠，用户界面、配置和管理等，均为中文，易于理解，并有详尽的中文技术文档。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提供的产品不能少于</w:t>
            </w:r>
            <w:r>
              <w:rPr>
                <w:rStyle w:val="a8"/>
                <w:rFonts w:ascii="Calibri" w:eastAsia="Calibri" w:hAnsi="Calibri" w:cs="Calibri"/>
                <w:color w:val="0D0D0D"/>
                <w:kern w:val="0"/>
                <w:sz w:val="22"/>
                <w:szCs w:val="22"/>
                <w:u w:color="0D0D0D"/>
              </w:rPr>
              <w:t>6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个</w:t>
            </w:r>
            <w:r>
              <w:rPr>
                <w:rStyle w:val="a8"/>
                <w:rFonts w:ascii="Calibri" w:eastAsia="Calibri" w:hAnsi="Calibri" w:cs="Calibri"/>
                <w:color w:val="0D0D0D"/>
                <w:kern w:val="0"/>
                <w:sz w:val="22"/>
                <w:szCs w:val="22"/>
                <w:u w:color="0D0D0D"/>
              </w:rPr>
              <w:t>10/100/1000M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自适应电口，</w:t>
            </w:r>
            <w:r>
              <w:rPr>
                <w:rStyle w:val="a8"/>
                <w:rFonts w:ascii="Calibri" w:eastAsia="Calibri" w:hAnsi="Calibri" w:cs="Calibri"/>
                <w:color w:val="0D0D0D"/>
                <w:kern w:val="0"/>
                <w:sz w:val="22"/>
                <w:szCs w:val="22"/>
                <w:u w:color="0D0D0D"/>
              </w:rPr>
              <w:t>4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个</w:t>
            </w:r>
            <w:r>
              <w:rPr>
                <w:rStyle w:val="a8"/>
                <w:rFonts w:ascii="Calibri" w:eastAsia="Calibri" w:hAnsi="Calibri" w:cs="Calibri"/>
                <w:color w:val="0D0D0D"/>
                <w:kern w:val="0"/>
                <w:sz w:val="22"/>
                <w:szCs w:val="22"/>
                <w:u w:color="0D0D0D"/>
              </w:rPr>
              <w:t>SFP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插槽，硬盘不小于</w:t>
            </w:r>
            <w:r>
              <w:rPr>
                <w:rStyle w:val="a8"/>
                <w:rFonts w:ascii="Calibri" w:eastAsia="Calibri" w:hAnsi="Calibri" w:cs="Calibri"/>
                <w:color w:val="0D0D0D"/>
                <w:kern w:val="0"/>
                <w:sz w:val="22"/>
                <w:szCs w:val="22"/>
                <w:u w:color="0D0D0D"/>
              </w:rPr>
              <w:t>1TB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；必须内置硬件</w:t>
            </w:r>
            <w:r>
              <w:rPr>
                <w:rStyle w:val="a8"/>
                <w:rFonts w:ascii="Calibri" w:eastAsia="Calibri" w:hAnsi="Calibri" w:cs="Calibri"/>
                <w:color w:val="0D0D0D"/>
                <w:kern w:val="0"/>
                <w:sz w:val="22"/>
                <w:szCs w:val="22"/>
                <w:u w:color="0D0D0D"/>
              </w:rPr>
              <w:t>Bypass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。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提供的产品应用层吞吐量不能小于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1Gbps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，最大并发连接数不能低于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15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万，每秒新建事务数不可小于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10000tps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。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支持透明部署，旁路部署，反向代理模式以及镜像部署模式。</w:t>
            </w:r>
          </w:p>
        </w:tc>
      </w:tr>
      <w:tr w:rsidR="00BF7866" w:rsidTr="003758E8">
        <w:trPr>
          <w:cantSplit/>
          <w:trHeight w:val="97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 w:hint="eastAsia"/>
                <w:kern w:val="0"/>
                <w:sz w:val="36"/>
                <w:szCs w:val="36"/>
              </w:rPr>
            </w:pPr>
          </w:p>
          <w:p w:rsidR="00BF7866" w:rsidRDefault="00BF7866" w:rsidP="003758E8">
            <w:pPr>
              <w:rPr>
                <w:rFonts w:ascii="Calibri" w:eastAsia="Calibri" w:hAnsi="Calibri" w:cs="Calibri"/>
                <w:kern w:val="0"/>
                <w:sz w:val="36"/>
                <w:szCs w:val="36"/>
              </w:rPr>
            </w:pPr>
            <w:r>
              <w:rPr>
                <w:rStyle w:val="a8"/>
                <w:rFonts w:ascii="宋体" w:hAnsi="宋体" w:cs="宋体" w:hint="eastAsia"/>
                <w:kern w:val="0"/>
                <w:sz w:val="22"/>
                <w:szCs w:val="22"/>
                <w:lang w:val="zh-Hans" w:eastAsia="zh-Hans"/>
              </w:rPr>
              <w:t>产品资质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厂商应具备足够的安全运维服务保障能力，获得中国网络安全审查技术与认证中心颁发的信息系统安全运维（</w:t>
            </w:r>
            <w:r>
              <w:rPr>
                <w:rStyle w:val="a8"/>
                <w:rFonts w:ascii="宋体" w:hAnsi="宋体" w:cs="宋体" w:hint="eastAsia"/>
                <w:kern w:val="0"/>
                <w:sz w:val="22"/>
                <w:szCs w:val="22"/>
                <w:u w:color="0D0D0D"/>
              </w:rPr>
              <w:t>三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级）服务资质，提供证书复印件证明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厂商应具备足够的安全应急响应能力，获得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CNVD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网络安全应急服务支撑单位（国家级）证书，提供证书复印件证明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厂商应具有漏洞发现能力，至少曾经获得中国信息安全测评中心颁发《中国国家漏洞库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-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信息安全漏洞提交证明》，不低于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4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份。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jc w:val="center"/>
              <w:rPr>
                <w:rStyle w:val="a8"/>
                <w:rFonts w:ascii="宋体" w:hAnsi="宋体" w:cs="宋体"/>
                <w:kern w:val="0"/>
                <w:sz w:val="22"/>
                <w:szCs w:val="22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lang w:val="zh-Hans" w:eastAsia="zh-Hans"/>
              </w:rPr>
              <w:t>产品资质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《计算机信息系统安全专用产品销售许可证》（增强级），提供证书复印件证明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《计算机软件著作权登记证》，提供证书复印件证明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中国网络安全审查技术与认证中心的《网络关键设备和网络安全专用产品安全认证证书》，提供证书复印件证明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具备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IPv6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证书，提供证书复印件证明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OWASP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中国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WEB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应用防火墙认证证书，提供证书复印件证明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基于机器学习和语义分析的智能检测引擎，提升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SQLi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和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XSS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检测精度</w:t>
            </w:r>
          </w:p>
        </w:tc>
      </w:tr>
      <w:tr w:rsidR="00BF7866" w:rsidTr="003758E8">
        <w:trPr>
          <w:cantSplit/>
          <w:trHeight w:val="98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 w:hint="eastAsia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 w:hint="eastAsia"/>
                <w:kern w:val="0"/>
                <w:sz w:val="22"/>
                <w:szCs w:val="22"/>
                <w:u w:color="0D0D0D"/>
                <w:lang w:val="zh-Hans" w:eastAsia="zh-Hans"/>
              </w:rPr>
              <w:t>利用威胁情报建立IP风险画像，提供6类信誉数据（1）恶意IP；（2）漏洞利用源；（3）暴力破解IP</w:t>
            </w:r>
          </w:p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 w:hint="eastAsia"/>
                <w:kern w:val="0"/>
                <w:sz w:val="22"/>
                <w:szCs w:val="22"/>
                <w:u w:color="0D0D0D"/>
                <w:lang w:val="zh-Hans" w:eastAsia="zh-Hans"/>
              </w:rPr>
              <w:t>（4）Webshell客户端；  （5）扫描器IP； （6）Botnet客户端：  （7）Tor地址  （8）代理IP</w:t>
            </w:r>
          </w:p>
        </w:tc>
      </w:tr>
      <w:tr w:rsidR="00BF7866" w:rsidTr="003758E8">
        <w:trPr>
          <w:cantSplit/>
          <w:trHeight w:val="1318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系统提供可配置的内置规则；且支持自定义规则，规则属性要求支持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“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检测方向（请求或响应）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”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“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检测对象（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URI/URI-path/Host/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参数名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/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参数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/Header-name/Header/Cookie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名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/Version/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请求方法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/Request-Body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）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”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、匹配操作、特征签名等丰富要素。提供配置界面截图证明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ARP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攻击防护，支持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MAC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地址绑定。提供配置界面截图证明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支持基于五元组（源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地址、目的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地址、源端口、目的端口、协议类型）及接口的网络层访问控制功能。提供配置界面截图证明</w:t>
            </w:r>
          </w:p>
        </w:tc>
      </w:tr>
      <w:tr w:rsidR="00BF7866" w:rsidTr="003758E8">
        <w:trPr>
          <w:cantSplit/>
          <w:trHeight w:val="1318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支持对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HTTP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协议合法性进行验证，提供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HTTP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协议防护功能，支持对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HTTP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协议的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URI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HOST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UA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Cookie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Referer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Content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Accept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</w:rPr>
              <w:t>Range</w:t>
            </w:r>
            <w:r>
              <w:rPr>
                <w:rStyle w:val="a8"/>
                <w:rFonts w:ascii="宋体" w:hAnsi="宋体" w:cs="宋体"/>
                <w:kern w:val="0"/>
                <w:sz w:val="22"/>
                <w:szCs w:val="22"/>
                <w:u w:color="0D0D0D"/>
                <w:lang w:val="zh-Hans" w:eastAsia="zh-Hans"/>
              </w:rPr>
              <w:t>、其他头部和参数在内的元素、参数进行检测与处理。且支持非法编码和解码的灵活控制与处理。提供配置界面截图证明</w:t>
            </w:r>
          </w:p>
        </w:tc>
      </w:tr>
      <w:tr w:rsidR="00BF7866" w:rsidTr="003758E8">
        <w:trPr>
          <w:cantSplit/>
          <w:trHeight w:val="1647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支持针对主流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Web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服务器及插件的已知漏洞防护。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Web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服务器应覆盖主流服务器：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apache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tomcat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lightpd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NGINX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IIS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等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cr/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插件应覆盖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:dedecms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phpmyadmin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PHPWind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shopex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discuz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ecshop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vbulletin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wordpress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等，提供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Java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反序列化漏洞（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Jboss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）防护插件。提供配置界面截图证明。</w:t>
            </w:r>
          </w:p>
        </w:tc>
      </w:tr>
      <w:tr w:rsidR="00BF7866" w:rsidTr="003758E8">
        <w:trPr>
          <w:cantSplit/>
          <w:trHeight w:val="1647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HTTP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访问控制功能，可以提供针对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HTTP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元素和客户端的组合访问控制策略。支持对多种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HTTP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方法执行访问控制，包括：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GET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POST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HEAD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PUT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DELETE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MKCOL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COPY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MOVE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OPTIONS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PROPFIND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PROPPATCH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LOCK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UNLOCK TRACE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SEARCH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CONNECT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提供盗链防护，应采用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Referer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和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Cookie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算法。提供配置界面截图证明</w:t>
            </w:r>
          </w:p>
        </w:tc>
      </w:tr>
      <w:tr w:rsidR="00BF7866" w:rsidTr="003758E8">
        <w:trPr>
          <w:cantSplit/>
          <w:trHeight w:val="98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支持对注入（包括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SQL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注入、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LDAP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注入、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XPATH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注入及命令行注入）、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XSS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SSI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指令、路径穿越、远程文件包含、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WebShell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防护。提供配置界面截图证明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CSRF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（跨站请求伪造）防护。提供配置界面截图</w:t>
            </w:r>
          </w:p>
        </w:tc>
      </w:tr>
      <w:tr w:rsidR="00BF7866" w:rsidTr="003758E8">
        <w:trPr>
          <w:cantSplit/>
          <w:trHeight w:val="1638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支持非法文件上传防护，有效识别文件上传行为，并对上传行为的内容做安全检测，可以根据需要，禁止上传以下文件类型：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PE(windows Executable File)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ELF(linux Executable File)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PHP web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Linux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Power shell(windows Script File)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Java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Asp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Perl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Python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及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Ruby shell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。提供配置界面截图证明</w:t>
            </w:r>
          </w:p>
        </w:tc>
      </w:tr>
      <w:tr w:rsidR="00BF7866" w:rsidTr="003758E8">
        <w:trPr>
          <w:cantSplit/>
          <w:trHeight w:val="97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支持非法下载防护，可以根据文件大小、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MIME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类型及文件扩展名灵活定义下载限制策略，限制用户非法获取网站的关键数据（比如数据库文件，配置文件等），提供配置界面截图证明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Cookie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安全机制，包括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Cookie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加密和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Cookie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签名的防护算法。支持过期兼容时间配置以及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*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配置。提供配置界面截图证明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支持信息泄露防护，提供针对服务器状态码进行过滤和伪装的安全策略。提供配置界面截图证明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支持内容过滤，提供恶意代码过滤功能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支持敏感信息过滤，对用户的个人隐私信息（信用卡卡号、手机号、身份证号码）泄露进行检测、阻断或替换。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TCP Flood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防护；支持基于阈值及算法配置的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HTTP Flood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防护。提供配置界面截图证明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支持对慢速攻击的防护。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FF0000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 w:hint="eastAsia"/>
                <w:color w:val="000000"/>
                <w:kern w:val="0"/>
                <w:sz w:val="22"/>
                <w:szCs w:val="22"/>
                <w:u w:color="0D0D0D"/>
                <w:lang w:val="zh-Hans" w:eastAsia="zh-Hans"/>
              </w:rPr>
              <w:t>可以与同品牌SaaS扫描服务联动，实现攻击事件的全局动画展示，并实现对问题网站的一键下线功能。要求提供监控平台界面截图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提供默认策略模板，方便客户快速对站点组及虚拟站点进行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web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安全防护策略配置。支持严格模板、标准模板及宽松模板。</w:t>
            </w:r>
          </w:p>
        </w:tc>
      </w:tr>
      <w:tr w:rsidR="00BF7866" w:rsidTr="003758E8">
        <w:trPr>
          <w:cantSplit/>
          <w:trHeight w:val="97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00000"/>
                <w:kern w:val="0"/>
                <w:sz w:val="22"/>
                <w:szCs w:val="22"/>
                <w:u w:color="0D0D0D"/>
                <w:lang w:val="zh-Hans" w:eastAsia="zh-Hans"/>
              </w:rPr>
              <w:t>支持多达七种的防护动作，包括了</w:t>
            </w:r>
            <w:r>
              <w:rPr>
                <w:rStyle w:val="a8"/>
                <w:rFonts w:ascii="宋体" w:hAnsi="宋体" w:cs="宋体" w:hint="eastAsia"/>
                <w:color w:val="000000"/>
                <w:kern w:val="0"/>
                <w:sz w:val="22"/>
                <w:szCs w:val="22"/>
                <w:u w:color="0D0D0D"/>
              </w:rPr>
              <w:t>继续</w:t>
            </w:r>
            <w:r>
              <w:rPr>
                <w:rStyle w:val="a8"/>
                <w:rFonts w:ascii="宋体" w:hAnsi="宋体" w:cs="宋体"/>
                <w:color w:val="000000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 w:hint="eastAsia"/>
                <w:color w:val="000000"/>
                <w:kern w:val="0"/>
                <w:sz w:val="22"/>
                <w:szCs w:val="22"/>
                <w:u w:color="0D0D0D"/>
              </w:rPr>
              <w:t>通过</w:t>
            </w:r>
            <w:r>
              <w:rPr>
                <w:rStyle w:val="a8"/>
                <w:rFonts w:ascii="宋体" w:hAnsi="宋体" w:cs="宋体"/>
                <w:color w:val="000000"/>
                <w:kern w:val="0"/>
                <w:sz w:val="22"/>
                <w:szCs w:val="22"/>
                <w:u w:color="0D0D0D"/>
                <w:lang w:val="zh-Hans" w:eastAsia="zh-Hans"/>
              </w:rPr>
              <w:t>、</w:t>
            </w:r>
            <w:r>
              <w:rPr>
                <w:rStyle w:val="a8"/>
                <w:rFonts w:ascii="宋体" w:hAnsi="宋体" w:cs="宋体" w:hint="eastAsia"/>
                <w:color w:val="000000"/>
                <w:kern w:val="0"/>
                <w:sz w:val="22"/>
                <w:szCs w:val="22"/>
                <w:u w:color="0D0D0D"/>
              </w:rPr>
              <w:t>阻断</w:t>
            </w:r>
            <w:r>
              <w:rPr>
                <w:rStyle w:val="a8"/>
                <w:rFonts w:ascii="宋体" w:hAnsi="宋体" w:cs="宋体"/>
                <w:color w:val="000000"/>
                <w:kern w:val="0"/>
                <w:sz w:val="22"/>
                <w:szCs w:val="22"/>
                <w:u w:color="0D0D0D"/>
                <w:lang w:val="zh-Hans" w:eastAsia="zh-Hans"/>
              </w:rPr>
              <w:t>、重定向、</w:t>
            </w:r>
            <w:r>
              <w:rPr>
                <w:rStyle w:val="a8"/>
                <w:rFonts w:ascii="宋体" w:hAnsi="宋体" w:cs="宋体" w:hint="eastAsia"/>
                <w:color w:val="000000"/>
                <w:kern w:val="0"/>
                <w:sz w:val="22"/>
                <w:szCs w:val="22"/>
                <w:u w:color="0D0D0D"/>
              </w:rPr>
              <w:t>封禁</w:t>
            </w:r>
            <w:r>
              <w:rPr>
                <w:rStyle w:val="a8"/>
                <w:rFonts w:ascii="宋体" w:hAnsi="宋体" w:cs="宋体"/>
                <w:color w:val="000000"/>
                <w:kern w:val="0"/>
                <w:sz w:val="22"/>
                <w:szCs w:val="22"/>
                <w:u w:color="0D0D0D"/>
                <w:lang w:val="zh-Hans" w:eastAsia="zh-Hans"/>
              </w:rPr>
              <w:t>、清除和替换。可针对不同安全风险提供多种可选方案。提供配置界面截图证明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支持对攻击源地址的智能阻断，支持永久封禁或者自定义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封禁时间（秒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/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分钟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/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小时），并且可以手工解除解禁。提供配置界面截图证明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可自定义修改某一策略的默认风险等级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支持对安全策略的一键式例外配置。提供配置界面截图证明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支持透明串联部署、旁路部署、镜像检测部署、反向代理部署等多场景部署模式。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满足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IPv6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环境部署要求，提供第三方资质证明。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支持对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SSL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（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HTTPS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）加密会话进行分析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支持基于时间、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、端口、动作、事件类型、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URI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、方法等条件的日志查询，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支持基于日志类型选择不同的日志外发配置。提供配置界面截图证明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支持在安全日志中带有客户端真实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地址，便于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溯源。提供配置界面截图证明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支持日志分时段导出、全部导出或者清空。提供配置界面截图证明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支持显示接口状态，引擎状态、系统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CPU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、内存及硬盘使用率，系统当前时间及系统运行时间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安全事件、业务负载、接口流量、系统负载、封禁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管理、站点访问量统计的实时和历史数据查看及查询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B/S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管理、支持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Syslog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接口、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REST API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接口等管理方式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定期自动升级或者支持手动离线升级功能模块和规则库</w:t>
            </w:r>
          </w:p>
        </w:tc>
      </w:tr>
      <w:tr w:rsidR="00BF7866" w:rsidTr="003758E8">
        <w:trPr>
          <w:cantSplit/>
          <w:trHeight w:val="659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支持自定义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HTTPS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监听端口，不完全依赖缺省的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443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端口。提供配置界面截图证明</w:t>
            </w:r>
          </w:p>
        </w:tc>
      </w:tr>
      <w:tr w:rsidR="00BF7866" w:rsidTr="003758E8">
        <w:trPr>
          <w:cantSplit/>
          <w:trHeight w:val="65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能对账户进行安全策略配置，包括口令复杂度和口令生存期。提供配置界面截图证明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可以限制远程管理的登录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IP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。提供配置界面截图证明</w:t>
            </w:r>
          </w:p>
        </w:tc>
      </w:tr>
      <w:tr w:rsidR="00BF7866" w:rsidTr="003758E8">
        <w:trPr>
          <w:cantSplit/>
          <w:trHeight w:val="330"/>
        </w:trPr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866" w:rsidRDefault="00BF7866" w:rsidP="003758E8">
            <w:pPr>
              <w:rPr>
                <w:rFonts w:ascii="Calibri" w:eastAsia="Calibri" w:hAnsi="Calibri" w:cs="Calibri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866" w:rsidRDefault="00BF7866" w:rsidP="003758E8">
            <w:pPr>
              <w:widowControl/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</w:pP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支持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VRRP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等协议的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</w:rPr>
              <w:t>ha</w:t>
            </w:r>
            <w:r>
              <w:rPr>
                <w:rStyle w:val="a8"/>
                <w:rFonts w:ascii="宋体" w:hAnsi="宋体" w:cs="宋体"/>
                <w:color w:val="0D0D0D"/>
                <w:kern w:val="0"/>
                <w:sz w:val="22"/>
                <w:szCs w:val="22"/>
                <w:u w:color="0D0D0D"/>
                <w:lang w:val="zh-Hans" w:eastAsia="zh-Hans"/>
              </w:rPr>
              <w:t>部署，实现链路切换、配置同步</w:t>
            </w:r>
          </w:p>
        </w:tc>
      </w:tr>
    </w:tbl>
    <w:p w:rsidR="00F67667" w:rsidRPr="00BF7866" w:rsidRDefault="00F67667" w:rsidP="00BF7866">
      <w:pPr>
        <w:outlineLvl w:val="0"/>
        <w:rPr>
          <w:rFonts w:asciiTheme="minorEastAsia" w:eastAsiaTheme="minorEastAsia" w:hAnsiTheme="minorEastAsia" w:hint="eastAsia"/>
          <w:sz w:val="28"/>
          <w:szCs w:val="28"/>
          <w:lang w:eastAsia="zh-Hans"/>
        </w:rPr>
      </w:pPr>
      <w:bookmarkStart w:id="3" w:name="_GoBack"/>
      <w:bookmarkEnd w:id="3"/>
    </w:p>
    <w:sectPr w:rsidR="00F67667" w:rsidRPr="00BF7866" w:rsidSect="00A8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5A" w:rsidRDefault="00416B5A" w:rsidP="001E038D">
      <w:r>
        <w:separator/>
      </w:r>
    </w:p>
  </w:endnote>
  <w:endnote w:type="continuationSeparator" w:id="0">
    <w:p w:rsidR="00416B5A" w:rsidRDefault="00416B5A" w:rsidP="001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5A" w:rsidRDefault="00416B5A" w:rsidP="001E038D">
      <w:r>
        <w:separator/>
      </w:r>
    </w:p>
  </w:footnote>
  <w:footnote w:type="continuationSeparator" w:id="0">
    <w:p w:rsidR="00416B5A" w:rsidRDefault="00416B5A" w:rsidP="001E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A3"/>
    <w:multiLevelType w:val="hybridMultilevel"/>
    <w:tmpl w:val="ED322C76"/>
    <w:lvl w:ilvl="0" w:tplc="7B8E9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20B5817"/>
    <w:multiLevelType w:val="hybridMultilevel"/>
    <w:tmpl w:val="0B1200DE"/>
    <w:lvl w:ilvl="0" w:tplc="687E0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FD35A3"/>
    <w:multiLevelType w:val="hybridMultilevel"/>
    <w:tmpl w:val="D0C21EFA"/>
    <w:lvl w:ilvl="0" w:tplc="0B8AFC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0C403C"/>
    <w:multiLevelType w:val="hybridMultilevel"/>
    <w:tmpl w:val="D91A5C5C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0F48B8"/>
    <w:multiLevelType w:val="hybridMultilevel"/>
    <w:tmpl w:val="E53E1198"/>
    <w:lvl w:ilvl="0" w:tplc="85DE11A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FE72F1"/>
    <w:multiLevelType w:val="hybridMultilevel"/>
    <w:tmpl w:val="4B9E43F6"/>
    <w:lvl w:ilvl="0" w:tplc="A67A022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80F8B"/>
    <w:multiLevelType w:val="hybridMultilevel"/>
    <w:tmpl w:val="9CD4FC28"/>
    <w:lvl w:ilvl="0" w:tplc="CCB2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17C7B2A"/>
    <w:multiLevelType w:val="hybridMultilevel"/>
    <w:tmpl w:val="01F2F85A"/>
    <w:lvl w:ilvl="0" w:tplc="CB88B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7C46998"/>
    <w:multiLevelType w:val="hybridMultilevel"/>
    <w:tmpl w:val="5EFC3C48"/>
    <w:lvl w:ilvl="0" w:tplc="D914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A35BD9"/>
    <w:multiLevelType w:val="hybridMultilevel"/>
    <w:tmpl w:val="B19AECCC"/>
    <w:lvl w:ilvl="0" w:tplc="6520D6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D114596"/>
    <w:multiLevelType w:val="hybridMultilevel"/>
    <w:tmpl w:val="C804CE14"/>
    <w:lvl w:ilvl="0" w:tplc="597447E6">
      <w:start w:val="1"/>
      <w:numFmt w:val="decimal"/>
      <w:lvlText w:val="%1．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004C4B"/>
    <w:rsid w:val="00044850"/>
    <w:rsid w:val="000779F1"/>
    <w:rsid w:val="00094853"/>
    <w:rsid w:val="000B68BB"/>
    <w:rsid w:val="000D5CDF"/>
    <w:rsid w:val="000E469E"/>
    <w:rsid w:val="001169EE"/>
    <w:rsid w:val="00117817"/>
    <w:rsid w:val="00157A14"/>
    <w:rsid w:val="00161BBC"/>
    <w:rsid w:val="001716E8"/>
    <w:rsid w:val="00177934"/>
    <w:rsid w:val="00195A3C"/>
    <w:rsid w:val="001961DE"/>
    <w:rsid w:val="001A24B8"/>
    <w:rsid w:val="001B635D"/>
    <w:rsid w:val="001C6EB4"/>
    <w:rsid w:val="001D27AB"/>
    <w:rsid w:val="001E038D"/>
    <w:rsid w:val="00216DCF"/>
    <w:rsid w:val="00252E1C"/>
    <w:rsid w:val="00266A1D"/>
    <w:rsid w:val="00275DD3"/>
    <w:rsid w:val="002B5699"/>
    <w:rsid w:val="002C5F85"/>
    <w:rsid w:val="002D3958"/>
    <w:rsid w:val="002D6903"/>
    <w:rsid w:val="002D7B72"/>
    <w:rsid w:val="00305FF6"/>
    <w:rsid w:val="00313688"/>
    <w:rsid w:val="003244E9"/>
    <w:rsid w:val="00342EA3"/>
    <w:rsid w:val="00345616"/>
    <w:rsid w:val="00362A30"/>
    <w:rsid w:val="00387625"/>
    <w:rsid w:val="00396B73"/>
    <w:rsid w:val="003C5DA8"/>
    <w:rsid w:val="003E075C"/>
    <w:rsid w:val="003F2F7D"/>
    <w:rsid w:val="00405ABC"/>
    <w:rsid w:val="0040648E"/>
    <w:rsid w:val="00416B5A"/>
    <w:rsid w:val="004330CA"/>
    <w:rsid w:val="00454F01"/>
    <w:rsid w:val="00461B9F"/>
    <w:rsid w:val="00497028"/>
    <w:rsid w:val="004B1043"/>
    <w:rsid w:val="00510679"/>
    <w:rsid w:val="00551F8B"/>
    <w:rsid w:val="00554BCF"/>
    <w:rsid w:val="005670E3"/>
    <w:rsid w:val="005951C4"/>
    <w:rsid w:val="005A79EF"/>
    <w:rsid w:val="005D6AA9"/>
    <w:rsid w:val="005F12C8"/>
    <w:rsid w:val="005F49DC"/>
    <w:rsid w:val="005F531E"/>
    <w:rsid w:val="0061638D"/>
    <w:rsid w:val="00626ECC"/>
    <w:rsid w:val="006403AE"/>
    <w:rsid w:val="006505BA"/>
    <w:rsid w:val="0067651D"/>
    <w:rsid w:val="0068379A"/>
    <w:rsid w:val="006A5078"/>
    <w:rsid w:val="006E4960"/>
    <w:rsid w:val="006F6F5F"/>
    <w:rsid w:val="00780E07"/>
    <w:rsid w:val="00781653"/>
    <w:rsid w:val="00793DE2"/>
    <w:rsid w:val="007F5CFD"/>
    <w:rsid w:val="00800CEB"/>
    <w:rsid w:val="008167BF"/>
    <w:rsid w:val="00824F1B"/>
    <w:rsid w:val="00864960"/>
    <w:rsid w:val="008A19BE"/>
    <w:rsid w:val="008F253A"/>
    <w:rsid w:val="008F385D"/>
    <w:rsid w:val="0091305F"/>
    <w:rsid w:val="00931D59"/>
    <w:rsid w:val="00942068"/>
    <w:rsid w:val="00943387"/>
    <w:rsid w:val="0097178F"/>
    <w:rsid w:val="009C07A1"/>
    <w:rsid w:val="009C4CFF"/>
    <w:rsid w:val="009C7C57"/>
    <w:rsid w:val="00A074FA"/>
    <w:rsid w:val="00A13284"/>
    <w:rsid w:val="00A54554"/>
    <w:rsid w:val="00A55372"/>
    <w:rsid w:val="00A56A31"/>
    <w:rsid w:val="00A83A6B"/>
    <w:rsid w:val="00A84426"/>
    <w:rsid w:val="00AA33AA"/>
    <w:rsid w:val="00AB5BCF"/>
    <w:rsid w:val="00AC0AF7"/>
    <w:rsid w:val="00AC644E"/>
    <w:rsid w:val="00AE204C"/>
    <w:rsid w:val="00B40E00"/>
    <w:rsid w:val="00B6170D"/>
    <w:rsid w:val="00B771DF"/>
    <w:rsid w:val="00B775A4"/>
    <w:rsid w:val="00B827F8"/>
    <w:rsid w:val="00B83109"/>
    <w:rsid w:val="00BB24A8"/>
    <w:rsid w:val="00BB646F"/>
    <w:rsid w:val="00BC1AF6"/>
    <w:rsid w:val="00BC68DC"/>
    <w:rsid w:val="00BD2709"/>
    <w:rsid w:val="00BF7866"/>
    <w:rsid w:val="00C179AB"/>
    <w:rsid w:val="00C27D60"/>
    <w:rsid w:val="00C32BB8"/>
    <w:rsid w:val="00C37798"/>
    <w:rsid w:val="00C425C0"/>
    <w:rsid w:val="00C76E08"/>
    <w:rsid w:val="00CB5955"/>
    <w:rsid w:val="00CC23AC"/>
    <w:rsid w:val="00CC26F7"/>
    <w:rsid w:val="00CF2109"/>
    <w:rsid w:val="00D21602"/>
    <w:rsid w:val="00D25CE9"/>
    <w:rsid w:val="00D3491E"/>
    <w:rsid w:val="00D4094B"/>
    <w:rsid w:val="00DA7B2C"/>
    <w:rsid w:val="00DB2C57"/>
    <w:rsid w:val="00DB3416"/>
    <w:rsid w:val="00DB48C6"/>
    <w:rsid w:val="00DB5D8C"/>
    <w:rsid w:val="00DC56B9"/>
    <w:rsid w:val="00DC5983"/>
    <w:rsid w:val="00E15C6C"/>
    <w:rsid w:val="00E17526"/>
    <w:rsid w:val="00E724A1"/>
    <w:rsid w:val="00EB444F"/>
    <w:rsid w:val="00ED16AB"/>
    <w:rsid w:val="00F545F9"/>
    <w:rsid w:val="00F67667"/>
    <w:rsid w:val="00F90E8E"/>
    <w:rsid w:val="00FA4176"/>
    <w:rsid w:val="00FA4657"/>
    <w:rsid w:val="00FC3280"/>
    <w:rsid w:val="00FC4663"/>
    <w:rsid w:val="00FC5B32"/>
    <w:rsid w:val="00FE1825"/>
    <w:rsid w:val="00FE1D8C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CB7F5-E7C8-486E-99C6-26009E3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D6903"/>
    <w:pPr>
      <w:ind w:firstLineChars="200" w:firstLine="420"/>
    </w:pPr>
  </w:style>
  <w:style w:type="table" w:styleId="a6">
    <w:name w:val="Table Grid"/>
    <w:basedOn w:val="a1"/>
    <w:uiPriority w:val="59"/>
    <w:rsid w:val="0055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B5D8C"/>
    <w:rPr>
      <w:color w:val="0000FF"/>
      <w:u w:val="single"/>
    </w:rPr>
  </w:style>
  <w:style w:type="character" w:customStyle="1" w:styleId="a8">
    <w:name w:val="无"/>
    <w:rsid w:val="00BF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hufuwu@aai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19188</TotalTime>
  <Pages>7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顾晓磊</dc:creator>
  <cp:keywords/>
  <dc:description/>
  <cp:lastModifiedBy>顾晓磊</cp:lastModifiedBy>
  <cp:revision>7</cp:revision>
  <cp:lastPrinted>2011-08-05T02:26:00Z</cp:lastPrinted>
  <dcterms:created xsi:type="dcterms:W3CDTF">2019-08-06T07:34:00Z</dcterms:created>
  <dcterms:modified xsi:type="dcterms:W3CDTF">2019-09-03T01:09:00Z</dcterms:modified>
</cp:coreProperties>
</file>